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FBD8E" w14:textId="24CCFA3E" w:rsidR="002D7A98" w:rsidRPr="00871DD0" w:rsidRDefault="002D7A98" w:rsidP="002D7A98">
      <w:pPr>
        <w:pStyle w:val="3GPPHeader"/>
        <w:spacing w:after="60"/>
        <w:rPr>
          <w:sz w:val="32"/>
          <w:szCs w:val="32"/>
          <w:highlight w:val="yellow"/>
        </w:rPr>
      </w:pPr>
      <w:r w:rsidRPr="00CE0424">
        <w:t>3GPP TSG-RAN WG</w:t>
      </w:r>
      <w:r>
        <w:t>2</w:t>
      </w:r>
      <w:r w:rsidRPr="00CE0424">
        <w:t xml:space="preserve"> </w:t>
      </w:r>
      <w:r w:rsidR="00871DD0">
        <w:t xml:space="preserve">NR Ad </w:t>
      </w:r>
      <w:r w:rsidR="00871DD0" w:rsidRPr="00871DD0">
        <w:t>hoc</w:t>
      </w:r>
      <w:r w:rsidRPr="00871DD0">
        <w:tab/>
      </w:r>
      <w:r w:rsidRPr="00871DD0">
        <w:rPr>
          <w:sz w:val="32"/>
          <w:szCs w:val="32"/>
        </w:rPr>
        <w:t>Tdoc R2-17</w:t>
      </w:r>
      <w:r w:rsidR="00871DD0" w:rsidRPr="00871DD0">
        <w:rPr>
          <w:sz w:val="32"/>
          <w:szCs w:val="32"/>
        </w:rPr>
        <w:t>00413</w:t>
      </w:r>
    </w:p>
    <w:p w14:paraId="0B87C901" w14:textId="77777777" w:rsidR="002D7A98" w:rsidRPr="00871DD0" w:rsidRDefault="002D7A98" w:rsidP="002D7A98">
      <w:pPr>
        <w:pStyle w:val="CRCoverPage"/>
        <w:outlineLvl w:val="0"/>
        <w:rPr>
          <w:b/>
          <w:noProof/>
          <w:sz w:val="24"/>
        </w:rPr>
      </w:pPr>
      <w:r w:rsidRPr="00871DD0">
        <w:rPr>
          <w:b/>
          <w:noProof/>
          <w:sz w:val="24"/>
        </w:rPr>
        <w:t>Spokane, Washington, USA, 17</w:t>
      </w:r>
      <w:r w:rsidRPr="00871DD0">
        <w:rPr>
          <w:b/>
          <w:noProof/>
          <w:sz w:val="24"/>
          <w:vertAlign w:val="superscript"/>
        </w:rPr>
        <w:t>th</w:t>
      </w:r>
      <w:r w:rsidRPr="00871DD0">
        <w:rPr>
          <w:b/>
          <w:noProof/>
          <w:sz w:val="24"/>
        </w:rPr>
        <w:t xml:space="preserve"> – 19</w:t>
      </w:r>
      <w:r w:rsidRPr="00871DD0">
        <w:rPr>
          <w:b/>
          <w:noProof/>
          <w:sz w:val="24"/>
          <w:vertAlign w:val="superscript"/>
        </w:rPr>
        <w:t>th</w:t>
      </w:r>
      <w:r w:rsidRPr="00871DD0">
        <w:rPr>
          <w:b/>
          <w:noProof/>
          <w:sz w:val="24"/>
        </w:rPr>
        <w:t xml:space="preserve"> January 2017</w:t>
      </w:r>
    </w:p>
    <w:p w14:paraId="7336EBB9" w14:textId="77777777" w:rsidR="002D7A98" w:rsidRPr="00871DD0" w:rsidRDefault="002D7A98" w:rsidP="002D7A98">
      <w:pPr>
        <w:pStyle w:val="3GPPHeader"/>
      </w:pPr>
      <w:r w:rsidRPr="00871DD0">
        <w:tab/>
      </w:r>
      <w:r w:rsidRPr="00871DD0">
        <w:tab/>
      </w:r>
    </w:p>
    <w:p w14:paraId="1CFE1989" w14:textId="782CE30C" w:rsidR="002D7A98" w:rsidRPr="00871DD0" w:rsidRDefault="002D7A98" w:rsidP="002D7A98">
      <w:pPr>
        <w:pStyle w:val="3GPPHeader"/>
        <w:rPr>
          <w:sz w:val="22"/>
          <w:szCs w:val="22"/>
          <w:lang w:val="en-US"/>
        </w:rPr>
      </w:pPr>
      <w:r w:rsidRPr="00871DD0">
        <w:rPr>
          <w:sz w:val="22"/>
          <w:szCs w:val="22"/>
          <w:lang w:val="en-US"/>
        </w:rPr>
        <w:t>Agenda Item:</w:t>
      </w:r>
      <w:r w:rsidRPr="00871DD0">
        <w:rPr>
          <w:sz w:val="22"/>
          <w:szCs w:val="22"/>
          <w:lang w:val="en-US"/>
        </w:rPr>
        <w:tab/>
      </w:r>
      <w:r w:rsidR="00B13707" w:rsidRPr="00871DD0">
        <w:rPr>
          <w:sz w:val="22"/>
          <w:szCs w:val="22"/>
          <w:lang w:val="en-US"/>
        </w:rPr>
        <w:t>3.2.1.4</w:t>
      </w:r>
    </w:p>
    <w:p w14:paraId="5B266406" w14:textId="77777777" w:rsidR="00E90E49" w:rsidRPr="00871DD0" w:rsidRDefault="003D3C45" w:rsidP="00F64C2B">
      <w:pPr>
        <w:pStyle w:val="3GPPHeader"/>
        <w:rPr>
          <w:sz w:val="22"/>
          <w:szCs w:val="22"/>
        </w:rPr>
      </w:pPr>
      <w:r w:rsidRPr="00871DD0">
        <w:rPr>
          <w:sz w:val="22"/>
          <w:szCs w:val="22"/>
        </w:rPr>
        <w:t>Source:</w:t>
      </w:r>
      <w:r w:rsidR="00E90E49" w:rsidRPr="00871DD0">
        <w:rPr>
          <w:sz w:val="22"/>
          <w:szCs w:val="22"/>
        </w:rPr>
        <w:tab/>
      </w:r>
      <w:r w:rsidR="00F64C2B" w:rsidRPr="00871DD0">
        <w:rPr>
          <w:sz w:val="22"/>
          <w:szCs w:val="22"/>
        </w:rPr>
        <w:t>Ericsson</w:t>
      </w:r>
      <w:bookmarkStart w:id="0" w:name="_GoBack"/>
      <w:bookmarkEnd w:id="0"/>
    </w:p>
    <w:p w14:paraId="6AD8306A" w14:textId="1A72FD94" w:rsidR="00E90E49" w:rsidRPr="00CE0424" w:rsidRDefault="003D3C45" w:rsidP="00311702">
      <w:pPr>
        <w:pStyle w:val="3GPPHeader"/>
        <w:rPr>
          <w:sz w:val="22"/>
          <w:szCs w:val="22"/>
        </w:rPr>
      </w:pPr>
      <w:r>
        <w:rPr>
          <w:sz w:val="22"/>
          <w:szCs w:val="22"/>
        </w:rPr>
        <w:t>Title:</w:t>
      </w:r>
      <w:r w:rsidR="00E90E49" w:rsidRPr="00CE0424">
        <w:rPr>
          <w:sz w:val="22"/>
          <w:szCs w:val="22"/>
        </w:rPr>
        <w:tab/>
      </w:r>
      <w:r w:rsidR="002D7A98">
        <w:rPr>
          <w:sz w:val="22"/>
          <w:szCs w:val="22"/>
        </w:rPr>
        <w:t>On Two-step Random Access</w:t>
      </w:r>
      <w:r w:rsidR="00DB3A5C">
        <w:rPr>
          <w:sz w:val="22"/>
          <w:szCs w:val="22"/>
        </w:rPr>
        <w:t xml:space="preserve"> and Random Access Latency</w:t>
      </w:r>
    </w:p>
    <w:p w14:paraId="02C6447A" w14:textId="77777777" w:rsidR="00E90E49" w:rsidRDefault="00E90E49" w:rsidP="00D546FF">
      <w:pPr>
        <w:pStyle w:val="3GPPHeader"/>
        <w:rPr>
          <w:sz w:val="22"/>
          <w:szCs w:val="22"/>
        </w:rPr>
      </w:pPr>
      <w:r w:rsidRPr="000E367B">
        <w:rPr>
          <w:sz w:val="22"/>
          <w:szCs w:val="22"/>
        </w:rPr>
        <w:t>Document for:</w:t>
      </w:r>
      <w:r w:rsidRPr="000E367B">
        <w:rPr>
          <w:sz w:val="22"/>
          <w:szCs w:val="22"/>
        </w:rPr>
        <w:tab/>
        <w:t>Discussion, Decision</w:t>
      </w:r>
    </w:p>
    <w:p w14:paraId="0B3DBA70" w14:textId="77777777" w:rsidR="009B0CB5" w:rsidRPr="00CE0424" w:rsidRDefault="009B0CB5" w:rsidP="00D546FF">
      <w:pPr>
        <w:pStyle w:val="3GPPHeader"/>
        <w:rPr>
          <w:sz w:val="22"/>
          <w:szCs w:val="22"/>
        </w:rPr>
      </w:pPr>
    </w:p>
    <w:p w14:paraId="5A26246B" w14:textId="77777777" w:rsidR="00E90E49" w:rsidRDefault="00E90E49" w:rsidP="00CE0424">
      <w:pPr>
        <w:pStyle w:val="Heading1"/>
      </w:pPr>
      <w:r w:rsidRPr="00CE0424">
        <w:t>Introduction</w:t>
      </w:r>
    </w:p>
    <w:p w14:paraId="04500384" w14:textId="77777777" w:rsidR="00407AC6" w:rsidRDefault="00407AC6" w:rsidP="00407AC6">
      <w:r>
        <w:t>Based on outcome of R</w:t>
      </w:r>
      <w:r w:rsidR="00B5677F">
        <w:t>AN1#</w:t>
      </w:r>
      <w:r>
        <w:t xml:space="preserve">86, </w:t>
      </w:r>
      <w:r w:rsidR="00DC0BCD">
        <w:t xml:space="preserve">a </w:t>
      </w:r>
      <w:r w:rsidR="00B5677F">
        <w:t>two-</w:t>
      </w:r>
      <w:r>
        <w:t>step Random Access will be studied. Here we discuss some implica</w:t>
      </w:r>
      <w:r w:rsidR="00B5677F">
        <w:t>tions and issues for RAN</w:t>
      </w:r>
      <w:r>
        <w:t>2</w:t>
      </w:r>
      <w:r w:rsidR="00DC0BCD">
        <w:t>. The agreement in more detail is as follows:</w:t>
      </w:r>
    </w:p>
    <w:p w14:paraId="0CA3A3AA" w14:textId="77777777" w:rsidR="00F8551A" w:rsidRPr="004973DD" w:rsidRDefault="00F8551A" w:rsidP="00F8551A">
      <w:pPr>
        <w:pStyle w:val="ListParagraph"/>
        <w:numPr>
          <w:ilvl w:val="0"/>
          <w:numId w:val="14"/>
        </w:numPr>
        <w:rPr>
          <w:rFonts w:eastAsia="MS Mincho"/>
          <w:lang w:val="en-US"/>
        </w:rPr>
      </w:pPr>
      <w:r w:rsidRPr="004973DD">
        <w:rPr>
          <w:rFonts w:eastAsia="MS Mincho"/>
          <w:lang w:val="en-US"/>
        </w:rPr>
        <w:t>RACH procedure including RACH preamble (Msg. 1), random access response (Msg. 2), message 3, and message 4 is at least assumed for NR from RAN1 perspective</w:t>
      </w:r>
    </w:p>
    <w:p w14:paraId="7CCA79E2" w14:textId="77777777" w:rsidR="00F8551A" w:rsidRPr="004973DD" w:rsidRDefault="00F8551A" w:rsidP="00F8551A">
      <w:pPr>
        <w:pStyle w:val="ListParagraph"/>
        <w:numPr>
          <w:ilvl w:val="0"/>
          <w:numId w:val="14"/>
        </w:numPr>
        <w:rPr>
          <w:rFonts w:eastAsia="MS Mincho"/>
          <w:lang w:val="en-US"/>
        </w:rPr>
      </w:pPr>
      <w:r w:rsidRPr="004973DD">
        <w:rPr>
          <w:rFonts w:eastAsia="MS Mincho"/>
          <w:lang w:val="en-US"/>
        </w:rPr>
        <w:t>Simplified RACH procedure, e.g., Msg. 1 (UL) and Msg. 2 (DL), should be further studied</w:t>
      </w:r>
    </w:p>
    <w:p w14:paraId="7EB2DE17" w14:textId="77777777" w:rsidR="00F8551A" w:rsidRPr="004973DD" w:rsidRDefault="00F8551A" w:rsidP="00F8551A">
      <w:pPr>
        <w:pStyle w:val="ListParagraph"/>
        <w:numPr>
          <w:ilvl w:val="1"/>
          <w:numId w:val="14"/>
        </w:numPr>
        <w:rPr>
          <w:rFonts w:eastAsia="MS Mincho"/>
          <w:lang w:val="en-US"/>
        </w:rPr>
      </w:pPr>
      <w:r w:rsidRPr="004973DD">
        <w:rPr>
          <w:rFonts w:eastAsia="MS Mincho"/>
          <w:lang w:val="en-US"/>
        </w:rPr>
        <w:t>Details on Msg. 1 and Msg. 2 are FFS</w:t>
      </w:r>
    </w:p>
    <w:p w14:paraId="2EFF1676" w14:textId="77777777" w:rsidR="00F8551A" w:rsidRDefault="00F8551A" w:rsidP="00F8551A">
      <w:pPr>
        <w:pStyle w:val="ListParagraph"/>
        <w:numPr>
          <w:ilvl w:val="1"/>
          <w:numId w:val="14"/>
        </w:numPr>
        <w:rPr>
          <w:rFonts w:eastAsia="MS Mincho"/>
          <w:lang w:val="en-US"/>
        </w:rPr>
      </w:pPr>
      <w:r w:rsidRPr="004973DD">
        <w:rPr>
          <w:rFonts w:eastAsia="MS Mincho"/>
          <w:lang w:val="en-US"/>
        </w:rPr>
        <w:t>Study should include comparison with the above procedure (first bullet)</w:t>
      </w:r>
    </w:p>
    <w:p w14:paraId="0B0D7B52" w14:textId="77777777" w:rsidR="008454FA" w:rsidRDefault="008454FA" w:rsidP="00A8000D">
      <w:pPr>
        <w:pStyle w:val="BodyText"/>
        <w:rPr>
          <w:rFonts w:eastAsia="MS Mincho"/>
          <w:lang w:val="en-US"/>
        </w:rPr>
      </w:pPr>
      <w:r>
        <w:rPr>
          <w:rFonts w:eastAsia="MS Mincho"/>
          <w:lang w:val="en-US"/>
        </w:rPr>
        <w:t>In addition to these agreements, RAN2#96 agreed the following</w:t>
      </w:r>
    </w:p>
    <w:p w14:paraId="1F40B316" w14:textId="77777777" w:rsidR="008454FA" w:rsidRDefault="008454FA" w:rsidP="008454FA">
      <w:pPr>
        <w:pStyle w:val="Doc-text2"/>
      </w:pPr>
    </w:p>
    <w:p w14:paraId="1023129C" w14:textId="77777777" w:rsidR="008454FA" w:rsidRDefault="008454FA" w:rsidP="008454FA">
      <w:pPr>
        <w:pStyle w:val="Doc-text2"/>
        <w:pBdr>
          <w:top w:val="single" w:sz="4" w:space="1" w:color="auto"/>
          <w:left w:val="single" w:sz="4" w:space="4" w:color="auto"/>
          <w:bottom w:val="single" w:sz="4" w:space="1" w:color="auto"/>
          <w:right w:val="single" w:sz="4" w:space="4" w:color="auto"/>
        </w:pBdr>
      </w:pPr>
      <w:r>
        <w:t>Agreements</w:t>
      </w:r>
    </w:p>
    <w:p w14:paraId="2C8DA651" w14:textId="77777777" w:rsidR="008454FA" w:rsidRDefault="008454FA" w:rsidP="008454FA">
      <w:pPr>
        <w:pStyle w:val="Doc-text2"/>
        <w:pBdr>
          <w:top w:val="single" w:sz="4" w:space="1" w:color="auto"/>
          <w:left w:val="single" w:sz="4" w:space="4" w:color="auto"/>
          <w:bottom w:val="single" w:sz="4" w:space="1" w:color="auto"/>
          <w:right w:val="single" w:sz="4" w:space="4" w:color="auto"/>
        </w:pBdr>
      </w:pPr>
      <w:r>
        <w:t>If 2 step RACH is supported:</w:t>
      </w:r>
    </w:p>
    <w:p w14:paraId="51323B61" w14:textId="77777777" w:rsidR="008454FA" w:rsidRDefault="008454FA" w:rsidP="008454FA">
      <w:pPr>
        <w:pStyle w:val="Doc-text2"/>
        <w:pBdr>
          <w:top w:val="single" w:sz="4" w:space="1" w:color="auto"/>
          <w:left w:val="single" w:sz="4" w:space="4" w:color="auto"/>
          <w:bottom w:val="single" w:sz="4" w:space="1" w:color="auto"/>
          <w:right w:val="single" w:sz="4" w:space="4" w:color="auto"/>
        </w:pBdr>
      </w:pPr>
      <w:r>
        <w:t xml:space="preserve">1 The 2-step RACH resources are optionally configurable by the NW </w:t>
      </w:r>
    </w:p>
    <w:p w14:paraId="0F1CDCCC" w14:textId="77777777" w:rsidR="008454FA" w:rsidRDefault="008454FA" w:rsidP="008454FA">
      <w:pPr>
        <w:pStyle w:val="Doc-text2"/>
        <w:pBdr>
          <w:top w:val="single" w:sz="4" w:space="1" w:color="auto"/>
          <w:left w:val="single" w:sz="4" w:space="4" w:color="auto"/>
          <w:bottom w:val="single" w:sz="4" w:space="1" w:color="auto"/>
          <w:right w:val="single" w:sz="4" w:space="4" w:color="auto"/>
        </w:pBdr>
      </w:pPr>
      <w:r>
        <w:t>FFS whether it can be configured by broadcast and/or by dedicated signalling.</w:t>
      </w:r>
    </w:p>
    <w:p w14:paraId="614F2871" w14:textId="77777777" w:rsidR="008454FA" w:rsidRDefault="008454FA" w:rsidP="008454FA">
      <w:pPr>
        <w:pStyle w:val="Doc-text2"/>
        <w:pBdr>
          <w:top w:val="single" w:sz="4" w:space="1" w:color="auto"/>
          <w:left w:val="single" w:sz="4" w:space="4" w:color="auto"/>
          <w:bottom w:val="single" w:sz="4" w:space="1" w:color="auto"/>
          <w:right w:val="single" w:sz="4" w:space="4" w:color="auto"/>
        </w:pBdr>
      </w:pPr>
      <w:r>
        <w:t>2: NW can configure/restrict the usage of the 2-step RACH for certain cases ( e.g. procedures/services/radio condition, etc) (FFS for which cases for which it is possible to configure/restrict the usage)</w:t>
      </w:r>
    </w:p>
    <w:p w14:paraId="34CF68F1" w14:textId="77777777" w:rsidR="008454FA" w:rsidRDefault="008454FA" w:rsidP="008454FA">
      <w:pPr>
        <w:pStyle w:val="Doc-text2"/>
        <w:pBdr>
          <w:top w:val="single" w:sz="4" w:space="1" w:color="auto"/>
          <w:left w:val="single" w:sz="4" w:space="4" w:color="auto"/>
          <w:bottom w:val="single" w:sz="4" w:space="1" w:color="auto"/>
          <w:right w:val="single" w:sz="4" w:space="4" w:color="auto"/>
        </w:pBdr>
      </w:pPr>
      <w:r>
        <w:t>3</w:t>
      </w:r>
      <w:r>
        <w:tab/>
        <w:t>RAN2 expects a benefit in latency for the 2 step RACH procedure</w:t>
      </w:r>
    </w:p>
    <w:p w14:paraId="13F9C2FD" w14:textId="77777777" w:rsidR="008454FA" w:rsidRDefault="008454FA" w:rsidP="008454FA">
      <w:pPr>
        <w:pStyle w:val="Doc-text2"/>
        <w:pBdr>
          <w:top w:val="single" w:sz="4" w:space="1" w:color="auto"/>
          <w:left w:val="single" w:sz="4" w:space="4" w:color="auto"/>
          <w:bottom w:val="single" w:sz="4" w:space="1" w:color="auto"/>
          <w:right w:val="single" w:sz="4" w:space="4" w:color="auto"/>
        </w:pBdr>
      </w:pPr>
      <w:r>
        <w:t>4</w:t>
      </w:r>
      <w:r>
        <w:tab/>
        <w:t>From RAN2 point of view, the 2-step RACH procedure is not restricted to be used with certain UE ID size.</w:t>
      </w:r>
    </w:p>
    <w:p w14:paraId="6FBA2ACA" w14:textId="77777777" w:rsidR="008454FA" w:rsidRDefault="008454FA" w:rsidP="008454FA">
      <w:pPr>
        <w:pStyle w:val="Doc-text2"/>
        <w:pBdr>
          <w:top w:val="single" w:sz="4" w:space="1" w:color="auto"/>
          <w:left w:val="single" w:sz="4" w:space="4" w:color="auto"/>
          <w:bottom w:val="single" w:sz="4" w:space="1" w:color="auto"/>
          <w:right w:val="single" w:sz="4" w:space="4" w:color="auto"/>
        </w:pBdr>
      </w:pPr>
      <w:r>
        <w:t>5</w:t>
      </w:r>
      <w:r>
        <w:tab/>
        <w:t>Can provide RAN1 with the different size of message size and UE ID size for the different scenarios in LTE. Indicate to RAN1 that for some use cases the UE ID only would not be sufficient. For NR we are still studying.</w:t>
      </w:r>
    </w:p>
    <w:p w14:paraId="54088124" w14:textId="77777777" w:rsidR="008454FA" w:rsidRDefault="008454FA" w:rsidP="008454FA">
      <w:pPr>
        <w:pStyle w:val="Doc-text2"/>
      </w:pPr>
    </w:p>
    <w:p w14:paraId="654F225C" w14:textId="32A95677" w:rsidR="008454FA" w:rsidRPr="0010022E" w:rsidRDefault="00230236" w:rsidP="0010022E">
      <w:pPr>
        <w:pStyle w:val="BodyText"/>
      </w:pPr>
      <w:r w:rsidRPr="0010022E">
        <w:t>This contribution discusses benefits and use cases of the two-step random access procedure.</w:t>
      </w:r>
      <w:r w:rsidRPr="00230236">
        <w:t xml:space="preserve"> </w:t>
      </w:r>
      <w:r>
        <w:t xml:space="preserve">A companion contribution in RAN1 is given in </w:t>
      </w:r>
      <w:r>
        <w:fldChar w:fldCharType="begin"/>
      </w:r>
      <w:r>
        <w:instrText xml:space="preserve"> REF _Ref471214982 \r \h </w:instrText>
      </w:r>
      <w:r w:rsidR="0010022E">
        <w:instrText xml:space="preserve"> \* MERGEFORMAT </w:instrText>
      </w:r>
      <w:r>
        <w:fldChar w:fldCharType="separate"/>
      </w:r>
      <w:r w:rsidR="00BE4FA0">
        <w:t>[1]</w:t>
      </w:r>
      <w:r>
        <w:fldChar w:fldCharType="end"/>
      </w:r>
      <w:r>
        <w:t>.</w:t>
      </w:r>
      <w:r w:rsidR="0029205C">
        <w:t xml:space="preserve"> The contribution also discusses the random access latency and measures that would reduce this latency.</w:t>
      </w:r>
    </w:p>
    <w:p w14:paraId="27E60CEC" w14:textId="77777777" w:rsidR="001643A8" w:rsidRDefault="004000E8" w:rsidP="00CE0424">
      <w:pPr>
        <w:pStyle w:val="Heading1"/>
      </w:pPr>
      <w:bookmarkStart w:id="1" w:name="_Ref178064866"/>
      <w:r w:rsidRPr="00CE0424">
        <w:t>Discussion</w:t>
      </w:r>
      <w:bookmarkEnd w:id="1"/>
    </w:p>
    <w:p w14:paraId="3F8A89FC" w14:textId="6794445C" w:rsidR="001826A9" w:rsidRPr="00407AC6" w:rsidRDefault="00B026E4" w:rsidP="001826A9">
      <w:r>
        <w:t xml:space="preserve">The </w:t>
      </w:r>
      <w:r w:rsidR="00DC0BCD">
        <w:t xml:space="preserve">ordinary </w:t>
      </w:r>
      <w:r>
        <w:t>f</w:t>
      </w:r>
      <w:r w:rsidR="00AB3C7B">
        <w:t>our step</w:t>
      </w:r>
      <w:r w:rsidR="00605F6D">
        <w:t xml:space="preserve"> </w:t>
      </w:r>
      <w:r w:rsidR="00193249">
        <w:t>Random Access (</w:t>
      </w:r>
      <w:r w:rsidR="00605F6D">
        <w:t>RA</w:t>
      </w:r>
      <w:r w:rsidR="00193249">
        <w:t>) procedure</w:t>
      </w:r>
      <w:r w:rsidR="00AB3C7B">
        <w:t xml:space="preserve"> has been the current standard for </w:t>
      </w:r>
      <w:r>
        <w:t>legacy systems such as LTE</w:t>
      </w:r>
      <w:r w:rsidR="00AB3C7B">
        <w:t>.</w:t>
      </w:r>
      <w:r w:rsidR="00A641A6">
        <w:t xml:space="preserve"> It has been proposed to study a </w:t>
      </w:r>
      <w:r w:rsidR="000409E0">
        <w:t>two</w:t>
      </w:r>
      <w:r w:rsidR="00F32144">
        <w:t>-</w:t>
      </w:r>
      <w:r w:rsidR="00A641A6">
        <w:t>step procedure where the UL messages are sent simultaneously and similarly the two DL messages are sent as a simultaneous response in the DL.</w:t>
      </w:r>
      <w:r w:rsidR="00AB3C7B">
        <w:t xml:space="preserve"> </w:t>
      </w:r>
      <w:r w:rsidR="00A641A6">
        <w:t>In</w:t>
      </w:r>
      <w:r w:rsidR="0010022E">
        <w:t xml:space="preserve"> the legacy four-</w:t>
      </w:r>
      <w:r w:rsidR="00A641A6">
        <w:t>step</w:t>
      </w:r>
      <w:r w:rsidR="00AB3C7B">
        <w:t xml:space="preserve"> procedure, one of the main usage of the first two messages is to </w:t>
      </w:r>
      <w:r w:rsidR="00DC0BCD">
        <w:t xml:space="preserve">obtain </w:t>
      </w:r>
      <w:r w:rsidR="00AB3C7B">
        <w:t xml:space="preserve">UL time alignment for the UE. In many situations, e.g. </w:t>
      </w:r>
      <w:r w:rsidR="00DC0BCD">
        <w:t xml:space="preserve">in </w:t>
      </w:r>
      <w:r w:rsidR="00AB3C7B">
        <w:t xml:space="preserve">small cells or </w:t>
      </w:r>
      <w:r w:rsidR="00DC0BCD">
        <w:t xml:space="preserve">for </w:t>
      </w:r>
      <w:r w:rsidR="00AB3C7B">
        <w:t xml:space="preserve">stationary UEs, this </w:t>
      </w:r>
      <w:r w:rsidR="00DC0BCD">
        <w:t>may</w:t>
      </w:r>
      <w:r w:rsidR="00AB3C7B">
        <w:t xml:space="preserve"> not </w:t>
      </w:r>
      <w:r w:rsidR="00DC0BCD">
        <w:t xml:space="preserve">be </w:t>
      </w:r>
      <w:r w:rsidR="00AB3C7B">
        <w:t>needed since either a TA</w:t>
      </w:r>
      <w:r w:rsidR="00193249">
        <w:t xml:space="preserve"> equal to 0</w:t>
      </w:r>
      <w:r w:rsidR="00AB3C7B">
        <w:t xml:space="preserve"> will be sufficient</w:t>
      </w:r>
      <w:r w:rsidR="00DC0BCD">
        <w:t xml:space="preserve"> (small cells)</w:t>
      </w:r>
      <w:r w:rsidR="00AB3C7B">
        <w:t xml:space="preserve"> or a stored TA value from the last RA could serve also for the current RA</w:t>
      </w:r>
      <w:r w:rsidR="00DC0BCD">
        <w:t xml:space="preserve"> (stationary UE)</w:t>
      </w:r>
      <w:r w:rsidR="00AB3C7B">
        <w:t>.</w:t>
      </w:r>
      <w:r w:rsidR="00C92AB1">
        <w:t xml:space="preserve"> </w:t>
      </w:r>
      <w:r w:rsidR="00E148ED">
        <w:t xml:space="preserve">Another important use case would be when the UE is in connected mode (and has a valid TA value), but no SR resource is configured for the UE and a RA in needed to obtain an UL </w:t>
      </w:r>
      <w:r w:rsidR="00E148ED">
        <w:lastRenderedPageBreak/>
        <w:t xml:space="preserve">grant. </w:t>
      </w:r>
      <w:r w:rsidR="00C92AB1">
        <w:t>In future radio networks it can be expected that these situations are common, both due to dense deployments of small cells and a great number of e.g. stationary IoT devices.</w:t>
      </w:r>
      <w:r w:rsidR="00AB3C7B">
        <w:t xml:space="preserve"> </w:t>
      </w:r>
      <w:r w:rsidR="00605F6D">
        <w:t xml:space="preserve">A possibility to skip the message exchange to </w:t>
      </w:r>
      <w:r w:rsidR="00DC0BCD">
        <w:t>obtain</w:t>
      </w:r>
      <w:r w:rsidR="00605F6D">
        <w:t xml:space="preserve"> the TA value would lead to reduced</w:t>
      </w:r>
      <w:r w:rsidR="00DC0BCD">
        <w:t xml:space="preserve"> RA</w:t>
      </w:r>
      <w:r w:rsidR="00605F6D">
        <w:t xml:space="preserve"> latency and </w:t>
      </w:r>
      <w:r w:rsidR="00DC0BCD">
        <w:t xml:space="preserve">would </w:t>
      </w:r>
      <w:r w:rsidR="00605F6D">
        <w:t xml:space="preserve">be beneficial in several </w:t>
      </w:r>
      <w:r w:rsidR="00C92AB1">
        <w:t>use cases</w:t>
      </w:r>
      <w:r w:rsidR="00605F6D">
        <w:t xml:space="preserve">, </w:t>
      </w:r>
      <w:r w:rsidR="007B6A6B">
        <w:t>for example</w:t>
      </w:r>
      <w:r w:rsidR="00605F6D">
        <w:t xml:space="preserve"> when transmitting infrequent small data packets.</w:t>
      </w:r>
      <w:r w:rsidR="007B6A6B">
        <w:t xml:space="preserve"> </w:t>
      </w:r>
    </w:p>
    <w:p w14:paraId="40DC50A1" w14:textId="77777777" w:rsidR="001826A9" w:rsidRDefault="001826A9" w:rsidP="001826A9">
      <w:pPr>
        <w:pStyle w:val="Observation"/>
      </w:pPr>
      <w:bookmarkStart w:id="2" w:name="_Toc462055687"/>
      <w:bookmarkStart w:id="3" w:name="_Toc462384599"/>
      <w:bookmarkStart w:id="4" w:name="_Toc462726378"/>
      <w:bookmarkStart w:id="5" w:name="_Toc462726631"/>
      <w:bookmarkStart w:id="6" w:name="_Toc463033476"/>
      <w:bookmarkStart w:id="7" w:name="_Toc463033599"/>
      <w:bookmarkStart w:id="8" w:name="_Toc465772933"/>
      <w:bookmarkStart w:id="9" w:name="_Toc466063200"/>
      <w:bookmarkStart w:id="10" w:name="_Toc471385791"/>
      <w:bookmarkStart w:id="11" w:name="_Toc471387739"/>
      <w:bookmarkStart w:id="12" w:name="_Toc471479293"/>
      <w:bookmarkStart w:id="13" w:name="_Toc471496476"/>
      <w:r>
        <w:t xml:space="preserve">In small cells or for stationary UEs, Random Access </w:t>
      </w:r>
      <w:r w:rsidR="004704BF">
        <w:t>may</w:t>
      </w:r>
      <w:r>
        <w:t xml:space="preserve"> not</w:t>
      </w:r>
      <w:r w:rsidR="004704BF">
        <w:t xml:space="preserve"> be</w:t>
      </w:r>
      <w:r>
        <w:t xml:space="preserve"> needed to obtain UL time alignment.</w:t>
      </w:r>
      <w:bookmarkEnd w:id="2"/>
      <w:bookmarkEnd w:id="3"/>
      <w:bookmarkEnd w:id="4"/>
      <w:bookmarkEnd w:id="5"/>
      <w:bookmarkEnd w:id="6"/>
      <w:bookmarkEnd w:id="7"/>
      <w:bookmarkEnd w:id="8"/>
      <w:bookmarkEnd w:id="9"/>
      <w:bookmarkEnd w:id="10"/>
      <w:bookmarkEnd w:id="11"/>
      <w:bookmarkEnd w:id="12"/>
      <w:bookmarkEnd w:id="13"/>
    </w:p>
    <w:p w14:paraId="5F0E0049" w14:textId="77777777" w:rsidR="009839BF" w:rsidRDefault="009839BF" w:rsidP="009839BF">
      <w:pPr>
        <w:pStyle w:val="Heading2"/>
      </w:pPr>
      <w:r>
        <w:t xml:space="preserve">The </w:t>
      </w:r>
      <w:r w:rsidR="000409E0">
        <w:t>two-</w:t>
      </w:r>
      <w:r>
        <w:t>step Random Access</w:t>
      </w:r>
      <w:r w:rsidR="00193249">
        <w:t xml:space="preserve"> procedure</w:t>
      </w:r>
    </w:p>
    <w:p w14:paraId="372DDB85" w14:textId="1194E901" w:rsidR="009839BF" w:rsidRDefault="009839BF" w:rsidP="009839BF">
      <w:r>
        <w:t xml:space="preserve">In the </w:t>
      </w:r>
      <w:r w:rsidR="00AD3C95">
        <w:t xml:space="preserve">two-step </w:t>
      </w:r>
      <w:r>
        <w:t xml:space="preserve">RA the preamble and a message corresponding to Message 3 in the </w:t>
      </w:r>
      <w:r w:rsidR="00193249">
        <w:t>four-</w:t>
      </w:r>
      <w:r>
        <w:t>step RA are transmitted in the same subframe</w:t>
      </w:r>
      <w:r w:rsidR="005072ED">
        <w:t xml:space="preserve"> or possibly in consecutive subframes</w:t>
      </w:r>
      <w:r>
        <w:t xml:space="preserve"> (</w:t>
      </w:r>
      <w:r w:rsidR="005072ED">
        <w:t>at least in the same burst</w:t>
      </w:r>
      <w:r>
        <w:t xml:space="preserve">). The Msg3 part is sent on </w:t>
      </w:r>
      <w:r w:rsidR="005072ED">
        <w:t>a resource</w:t>
      </w:r>
      <w:r>
        <w:t xml:space="preserve">, </w:t>
      </w:r>
      <w:r w:rsidR="005072ED">
        <w:t>corresponding to the specific preamble</w:t>
      </w:r>
      <w:r>
        <w:t>. This means that both the preamble and the Msg3 face contention</w:t>
      </w:r>
      <w:r w:rsidR="005A0C34">
        <w:t xml:space="preserve">. However, one could consider tying non-colliding time/frequency resources to different </w:t>
      </w:r>
      <w:r w:rsidR="005072ED">
        <w:t>preamble</w:t>
      </w:r>
      <w:r w:rsidR="00FD3F6B">
        <w:t>s</w:t>
      </w:r>
      <w:r w:rsidR="005A0C34">
        <w:t xml:space="preserve">. As a consequence, </w:t>
      </w:r>
      <w:r w:rsidR="00FD3F6B">
        <w:t xml:space="preserve">typically </w:t>
      </w:r>
      <w:r w:rsidR="005072ED">
        <w:t xml:space="preserve">either both </w:t>
      </w:r>
      <w:r w:rsidR="005A0C34">
        <w:t xml:space="preserve">Msg1 and Msg3 </w:t>
      </w:r>
      <w:r w:rsidR="005072ED">
        <w:t>succeed or both collide</w:t>
      </w:r>
      <w:r>
        <w:t xml:space="preserve">. As shown in Figure 1, </w:t>
      </w:r>
      <w:r w:rsidR="005072ED">
        <w:t xml:space="preserve">the </w:t>
      </w:r>
      <w:r w:rsidR="00230236">
        <w:t>gNB</w:t>
      </w:r>
      <w:r w:rsidR="005072ED">
        <w:t xml:space="preserve"> will respond with a TA (which by assumption should not be needed or just give very minor updates) and a Msg4 for contention resolution</w:t>
      </w:r>
      <w:r w:rsidR="005072ED" w:rsidDel="005072ED">
        <w:t xml:space="preserve"> </w:t>
      </w:r>
      <w:r w:rsidR="005072ED">
        <w:t>u</w:t>
      </w:r>
      <w:r w:rsidR="00A57A41">
        <w:t>pon successful reception of the preamble and Msg3</w:t>
      </w:r>
      <w:r w:rsidR="005C0F3B">
        <w:t>.</w:t>
      </w:r>
      <w:r w:rsidR="005072ED">
        <w:t xml:space="preserve"> The preamble can also be used to aid the channel estimation for Msg3.</w:t>
      </w:r>
    </w:p>
    <w:p w14:paraId="754B3F7A" w14:textId="65AB3BEB" w:rsidR="00A57A41" w:rsidRPr="009839BF" w:rsidRDefault="00893F8E" w:rsidP="00B5677F">
      <w:pPr>
        <w:pStyle w:val="Figure"/>
      </w:pPr>
      <w:r>
        <w:rPr>
          <w:noProof/>
          <w:lang w:val="sv-SE"/>
        </w:rPr>
        <w:drawing>
          <wp:inline distT="0" distB="0" distL="0" distR="0" wp14:anchorId="7CAC901F" wp14:editId="1AF5E051">
            <wp:extent cx="2919730" cy="27705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730" cy="2770505"/>
                    </a:xfrm>
                    <a:prstGeom prst="rect">
                      <a:avLst/>
                    </a:prstGeom>
                    <a:noFill/>
                  </pic:spPr>
                </pic:pic>
              </a:graphicData>
            </a:graphic>
          </wp:inline>
        </w:drawing>
      </w:r>
      <w:r>
        <w:rPr>
          <w:noProof/>
          <w:lang w:val="sv-SE"/>
        </w:rPr>
        <w:drawing>
          <wp:inline distT="0" distB="0" distL="0" distR="0" wp14:anchorId="4668A3B5" wp14:editId="68FB3EB1">
            <wp:extent cx="2534285" cy="276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34285" cy="2768600"/>
                    </a:xfrm>
                    <a:prstGeom prst="rect">
                      <a:avLst/>
                    </a:prstGeom>
                    <a:noFill/>
                  </pic:spPr>
                </pic:pic>
              </a:graphicData>
            </a:graphic>
          </wp:inline>
        </w:drawing>
      </w:r>
    </w:p>
    <w:p w14:paraId="62CF1411" w14:textId="77777777" w:rsidR="00B5677F" w:rsidRDefault="00B5677F" w:rsidP="007B6A6B">
      <w:pPr>
        <w:pStyle w:val="Caption"/>
      </w:pPr>
      <w:bookmarkStart w:id="14" w:name="_Ref461452130"/>
    </w:p>
    <w:p w14:paraId="3D41CDFB" w14:textId="7A0AFF6A" w:rsidR="007B6A6B" w:rsidRPr="00B5677F" w:rsidRDefault="007B6A6B" w:rsidP="00B5677F">
      <w:pPr>
        <w:pStyle w:val="Caption"/>
      </w:pPr>
      <w:r w:rsidRPr="00B5677F">
        <w:t xml:space="preserve">Figure </w:t>
      </w:r>
      <w:r w:rsidRPr="00B5677F">
        <w:fldChar w:fldCharType="begin"/>
      </w:r>
      <w:r w:rsidRPr="00B5677F">
        <w:instrText xml:space="preserve"> SEQ Figure \* ARABIC </w:instrText>
      </w:r>
      <w:r w:rsidRPr="00B5677F">
        <w:fldChar w:fldCharType="separate"/>
      </w:r>
      <w:r w:rsidR="00BE4FA0">
        <w:rPr>
          <w:noProof/>
        </w:rPr>
        <w:t>1</w:t>
      </w:r>
      <w:r w:rsidRPr="00B5677F">
        <w:fldChar w:fldCharType="end"/>
      </w:r>
      <w:bookmarkEnd w:id="14"/>
      <w:r w:rsidRPr="00B5677F">
        <w:t xml:space="preserve"> </w:t>
      </w:r>
      <w:r w:rsidR="00B5677F" w:rsidRPr="00B5677F">
        <w:t xml:space="preserve">– </w:t>
      </w:r>
      <w:r w:rsidRPr="00B5677F">
        <w:t xml:space="preserve">Illustration of </w:t>
      </w:r>
      <w:r w:rsidR="000409E0" w:rsidRPr="00B5677F">
        <w:t>two-</w:t>
      </w:r>
      <w:r w:rsidR="00A57A41" w:rsidRPr="00B5677F">
        <w:t xml:space="preserve">step procedure </w:t>
      </w:r>
      <w:r w:rsidRPr="00B5677F">
        <w:t xml:space="preserve">(left) and </w:t>
      </w:r>
      <w:r w:rsidR="00A57A41" w:rsidRPr="00B5677F">
        <w:t xml:space="preserve">ordinary Random access procedure </w:t>
      </w:r>
      <w:r w:rsidRPr="00B5677F">
        <w:t>(right)</w:t>
      </w:r>
      <w:r w:rsidR="00B5677F">
        <w:t>.</w:t>
      </w:r>
    </w:p>
    <w:p w14:paraId="2087EF0D" w14:textId="77777777" w:rsidR="00CE0424" w:rsidRDefault="001B2A79" w:rsidP="00CE0424">
      <w:pPr>
        <w:pStyle w:val="Heading2"/>
      </w:pPr>
      <w:r>
        <w:t>Latency for RA schemes</w:t>
      </w:r>
    </w:p>
    <w:p w14:paraId="19EA8989" w14:textId="6DA488F1" w:rsidR="008F4475" w:rsidRDefault="001B2A79" w:rsidP="007B6A6B">
      <w:r>
        <w:t xml:space="preserve">In </w:t>
      </w:r>
      <w:r>
        <w:fldChar w:fldCharType="begin"/>
      </w:r>
      <w:r>
        <w:instrText xml:space="preserve"> REF _Ref461453446 \h </w:instrText>
      </w:r>
      <w:r>
        <w:fldChar w:fldCharType="separate"/>
      </w:r>
      <w:r w:rsidR="00BE4FA0">
        <w:t xml:space="preserve">Figure </w:t>
      </w:r>
      <w:r w:rsidR="00BE4FA0">
        <w:rPr>
          <w:noProof/>
        </w:rPr>
        <w:t>2</w:t>
      </w:r>
      <w:r>
        <w:fldChar w:fldCharType="end"/>
      </w:r>
      <w:r>
        <w:t xml:space="preserve"> the latency calculations </w:t>
      </w:r>
      <w:r w:rsidR="00495E37">
        <w:t xml:space="preserve">for LTE </w:t>
      </w:r>
      <w:r>
        <w:t>are illustrated. As can be seen, the</w:t>
      </w:r>
      <w:r w:rsidR="006C3701">
        <w:t xml:space="preserve"> minimum</w:t>
      </w:r>
      <w:r>
        <w:t xml:space="preserve"> latency from the UE transmitting the RA preamble </w:t>
      </w:r>
      <w:r w:rsidR="00A641A6">
        <w:t xml:space="preserve">in the </w:t>
      </w:r>
      <w:r w:rsidR="000409E0">
        <w:t>four-</w:t>
      </w:r>
      <w:r w:rsidR="00A641A6">
        <w:t>step procedure</w:t>
      </w:r>
      <w:r>
        <w:t xml:space="preserve"> until receiving the final response is </w:t>
      </w:r>
      <w:r w:rsidR="00F57828">
        <w:t xml:space="preserve">13 </w:t>
      </w:r>
      <w:r>
        <w:t>subframes</w:t>
      </w:r>
      <w:r w:rsidR="00801BF4">
        <w:t xml:space="preserve"> (preamble in x, RAR in x+</w:t>
      </w:r>
      <w:r w:rsidR="00F57828">
        <w:t>3</w:t>
      </w:r>
      <w:r w:rsidR="00801BF4">
        <w:t xml:space="preserve">, </w:t>
      </w:r>
      <w:r w:rsidR="00F57828">
        <w:t xml:space="preserve">Msg3 </w:t>
      </w:r>
      <w:r w:rsidR="00801BF4">
        <w:t>in x+</w:t>
      </w:r>
      <w:r w:rsidR="00F57828">
        <w:t>3</w:t>
      </w:r>
      <w:r w:rsidR="00801BF4">
        <w:t xml:space="preserve">+6, </w:t>
      </w:r>
      <w:r w:rsidR="00F57828">
        <w:t xml:space="preserve">Msg4 </w:t>
      </w:r>
      <w:r w:rsidR="00801BF4">
        <w:t>in x+</w:t>
      </w:r>
      <w:r w:rsidR="00F57828">
        <w:t>3</w:t>
      </w:r>
      <w:r w:rsidR="00801BF4">
        <w:t>+6+4)</w:t>
      </w:r>
      <w:r w:rsidR="00A641A6">
        <w:t xml:space="preserve">. </w:t>
      </w:r>
    </w:p>
    <w:p w14:paraId="23DDE66B" w14:textId="00BC1298" w:rsidR="00F57828" w:rsidRDefault="00F57828" w:rsidP="00D97E38">
      <w:pPr>
        <w:pStyle w:val="Figure"/>
      </w:pPr>
      <w:r>
        <w:rPr>
          <w:noProof/>
          <w:lang w:val="sv-SE"/>
        </w:rPr>
        <w:lastRenderedPageBreak/>
        <w:drawing>
          <wp:inline distT="0" distB="0" distL="0" distR="0" wp14:anchorId="09FED098" wp14:editId="72501A5C">
            <wp:extent cx="5014800" cy="165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4800" cy="1659600"/>
                    </a:xfrm>
                    <a:prstGeom prst="rect">
                      <a:avLst/>
                    </a:prstGeom>
                    <a:noFill/>
                  </pic:spPr>
                </pic:pic>
              </a:graphicData>
            </a:graphic>
          </wp:inline>
        </w:drawing>
      </w:r>
    </w:p>
    <w:p w14:paraId="1E76BDCD" w14:textId="2ABCECFE" w:rsidR="001B2A79" w:rsidRDefault="001B2A79" w:rsidP="001B2A79">
      <w:pPr>
        <w:pStyle w:val="Caption"/>
      </w:pPr>
      <w:bookmarkStart w:id="15" w:name="_Ref461453446"/>
      <w:r>
        <w:t xml:space="preserve">Figure </w:t>
      </w:r>
      <w:r>
        <w:fldChar w:fldCharType="begin"/>
      </w:r>
      <w:r>
        <w:instrText xml:space="preserve"> SEQ Figure \* ARABIC </w:instrText>
      </w:r>
      <w:r>
        <w:fldChar w:fldCharType="separate"/>
      </w:r>
      <w:r w:rsidR="00BE4FA0">
        <w:rPr>
          <w:noProof/>
        </w:rPr>
        <w:t>2</w:t>
      </w:r>
      <w:r>
        <w:fldChar w:fldCharType="end"/>
      </w:r>
      <w:bookmarkEnd w:id="15"/>
      <w:r w:rsidR="00460518">
        <w:t xml:space="preserve"> </w:t>
      </w:r>
      <w:r w:rsidR="00B5677F">
        <w:t>– Latency for ordinary four-</w:t>
      </w:r>
      <w:r w:rsidR="00460518">
        <w:t>step RA procedure</w:t>
      </w:r>
      <w:r w:rsidR="00B5677F">
        <w:t>.</w:t>
      </w:r>
    </w:p>
    <w:p w14:paraId="638AAC30" w14:textId="0465D97D" w:rsidR="00163B29" w:rsidRDefault="00280EDD" w:rsidP="009153DF">
      <w:r>
        <w:t>Depending on the numerology or TTI duration that is used in NR, this will result in a latency not exceeding 1</w:t>
      </w:r>
      <w:r w:rsidR="00F57828">
        <w:t>3</w:t>
      </w:r>
      <w:r w:rsidR="00D97E38">
        <w:t> </w:t>
      </w:r>
      <w:r>
        <w:t xml:space="preserve">ms until the RA procedure is completed. </w:t>
      </w:r>
    </w:p>
    <w:p w14:paraId="4C5C2CC6" w14:textId="66D106C7" w:rsidR="009153DF" w:rsidRPr="00407AC6" w:rsidRDefault="009153DF" w:rsidP="009153DF">
      <w:r>
        <w:t xml:space="preserve">In the two-step procedure shown in </w:t>
      </w:r>
      <w:r>
        <w:fldChar w:fldCharType="begin"/>
      </w:r>
      <w:r>
        <w:instrText xml:space="preserve"> REF _Ref461707548 \h </w:instrText>
      </w:r>
      <w:r>
        <w:fldChar w:fldCharType="separate"/>
      </w:r>
      <w:r w:rsidR="00BE4FA0">
        <w:t xml:space="preserve">Figure </w:t>
      </w:r>
      <w:r w:rsidR="00BE4FA0">
        <w:rPr>
          <w:noProof/>
        </w:rPr>
        <w:t>3</w:t>
      </w:r>
      <w:r>
        <w:fldChar w:fldCharType="end"/>
      </w:r>
      <w:r>
        <w:t>, the corresponding minimum latency is 4 subframes (preamble&amp;</w:t>
      </w:r>
      <w:r w:rsidR="00F57828">
        <w:t xml:space="preserve">Msg3 </w:t>
      </w:r>
      <w:r>
        <w:t xml:space="preserve">in x, </w:t>
      </w:r>
      <w:r w:rsidR="00F57828">
        <w:t>Msg3</w:t>
      </w:r>
      <w:r>
        <w:t>&amp;</w:t>
      </w:r>
      <w:r w:rsidR="00F57828">
        <w:t xml:space="preserve">Msg4 </w:t>
      </w:r>
      <w:r>
        <w:t>in x+4) even when assuming the long processing delays specified currently for LTE. Hence, the two-step procedure could lead to a reduction of approxima</w:t>
      </w:r>
      <w:r w:rsidR="00B5677F">
        <w:t>tely factor 3 compared to the four-</w:t>
      </w:r>
      <w:r>
        <w:t>step procedure. Even when NR achieves shorter processing times than LTE, the two-step RA procedure offers significant latency reduction compared to legacy four-step procedure.</w:t>
      </w:r>
    </w:p>
    <w:p w14:paraId="072E96D4" w14:textId="77777777" w:rsidR="009153DF" w:rsidRDefault="009153DF" w:rsidP="009153DF">
      <w:pPr>
        <w:pStyle w:val="Observation"/>
      </w:pPr>
      <w:bookmarkStart w:id="16" w:name="_Toc462055689"/>
      <w:bookmarkStart w:id="17" w:name="_Toc462384600"/>
      <w:bookmarkStart w:id="18" w:name="_Toc462726379"/>
      <w:bookmarkStart w:id="19" w:name="_Toc462726632"/>
      <w:bookmarkStart w:id="20" w:name="_Toc463033477"/>
      <w:bookmarkStart w:id="21" w:name="_Toc463033600"/>
      <w:bookmarkStart w:id="22" w:name="_Toc465772934"/>
      <w:bookmarkStart w:id="23" w:name="_Toc466063201"/>
      <w:bookmarkStart w:id="24" w:name="_Toc471385792"/>
      <w:bookmarkStart w:id="25" w:name="_Toc471387740"/>
      <w:bookmarkStart w:id="26" w:name="_Toc471479294"/>
      <w:bookmarkStart w:id="27" w:name="_Toc471496477"/>
      <w:r>
        <w:t xml:space="preserve">A </w:t>
      </w:r>
      <w:r w:rsidR="00AD3C95">
        <w:t xml:space="preserve">two-step </w:t>
      </w:r>
      <w:r>
        <w:t xml:space="preserve">RA has the potential to be three times faster than the legacy </w:t>
      </w:r>
      <w:r w:rsidR="00193249">
        <w:t>four-</w:t>
      </w:r>
      <w:r>
        <w:t>step RA.</w:t>
      </w:r>
      <w:bookmarkEnd w:id="16"/>
      <w:bookmarkEnd w:id="17"/>
      <w:bookmarkEnd w:id="18"/>
      <w:bookmarkEnd w:id="19"/>
      <w:bookmarkEnd w:id="20"/>
      <w:bookmarkEnd w:id="21"/>
      <w:bookmarkEnd w:id="22"/>
      <w:bookmarkEnd w:id="23"/>
      <w:bookmarkEnd w:id="24"/>
      <w:bookmarkEnd w:id="25"/>
      <w:bookmarkEnd w:id="26"/>
      <w:bookmarkEnd w:id="27"/>
      <w:r>
        <w:t xml:space="preserve"> </w:t>
      </w:r>
    </w:p>
    <w:p w14:paraId="215CEFE6" w14:textId="77777777" w:rsidR="009153DF" w:rsidRDefault="009153DF" w:rsidP="009153DF">
      <w:pPr>
        <w:pStyle w:val="Proposal"/>
      </w:pPr>
      <w:bookmarkStart w:id="28" w:name="_Toc462055690"/>
      <w:bookmarkStart w:id="29" w:name="_Toc462056083"/>
      <w:bookmarkStart w:id="30" w:name="_Toc462056137"/>
      <w:bookmarkStart w:id="31" w:name="_Toc462384594"/>
      <w:bookmarkStart w:id="32" w:name="_Toc462726371"/>
      <w:bookmarkStart w:id="33" w:name="_Toc462726635"/>
      <w:bookmarkStart w:id="34" w:name="_Toc462840568"/>
      <w:bookmarkStart w:id="35" w:name="_Toc463033472"/>
      <w:bookmarkStart w:id="36" w:name="_Toc463033595"/>
      <w:bookmarkStart w:id="37" w:name="_Toc466063203"/>
      <w:bookmarkStart w:id="38" w:name="_Toc471214643"/>
      <w:bookmarkStart w:id="39" w:name="_Toc471385795"/>
      <w:bookmarkStart w:id="40" w:name="_Toc471385846"/>
      <w:bookmarkStart w:id="41" w:name="_Toc471387759"/>
      <w:bookmarkStart w:id="42" w:name="_Toc471479298"/>
      <w:bookmarkStart w:id="43" w:name="_Toc471496481"/>
      <w:r>
        <w:t xml:space="preserve">Allow a </w:t>
      </w:r>
      <w:r w:rsidR="00AD3C95">
        <w:t xml:space="preserve">two-step </w:t>
      </w:r>
      <w:r>
        <w:t xml:space="preserve">RA as an alternative to </w:t>
      </w:r>
      <w:r w:rsidR="00AD3C95">
        <w:t>four-</w:t>
      </w:r>
      <w:r>
        <w:t>step RA in cases where</w:t>
      </w:r>
      <w:r w:rsidR="00FD3F6B">
        <w:t xml:space="preserve"> obtaining</w:t>
      </w:r>
      <w:r>
        <w:t xml:space="preserve"> UL time alignment is </w:t>
      </w:r>
      <w:r w:rsidR="00FD3F6B">
        <w:t>not needed</w:t>
      </w:r>
      <w:r>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6C1CD4" w14:textId="77777777" w:rsidR="009153DF" w:rsidRDefault="009153DF" w:rsidP="000E367B">
      <w:pPr>
        <w:jc w:val="left"/>
      </w:pPr>
    </w:p>
    <w:p w14:paraId="1F9AB56D" w14:textId="680B8945" w:rsidR="00460518" w:rsidRDefault="00893F8E" w:rsidP="000E367B">
      <w:pPr>
        <w:jc w:val="center"/>
      </w:pPr>
      <w:r>
        <w:rPr>
          <w:noProof/>
          <w:lang w:val="sv-SE"/>
        </w:rPr>
        <w:drawing>
          <wp:inline distT="0" distB="0" distL="0" distR="0" wp14:anchorId="328063B9" wp14:editId="08094E3F">
            <wp:extent cx="2235835" cy="16598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35835" cy="1659890"/>
                    </a:xfrm>
                    <a:prstGeom prst="rect">
                      <a:avLst/>
                    </a:prstGeom>
                    <a:noFill/>
                  </pic:spPr>
                </pic:pic>
              </a:graphicData>
            </a:graphic>
          </wp:inline>
        </w:drawing>
      </w:r>
    </w:p>
    <w:p w14:paraId="0D2EEA39" w14:textId="18285176" w:rsidR="00460518" w:rsidRPr="00460518" w:rsidRDefault="00460518" w:rsidP="00460518">
      <w:pPr>
        <w:pStyle w:val="Caption"/>
      </w:pPr>
      <w:bookmarkStart w:id="44" w:name="_Ref461707548"/>
      <w:bookmarkStart w:id="45" w:name="_Ref461707504"/>
      <w:r>
        <w:t xml:space="preserve">Figure </w:t>
      </w:r>
      <w:r>
        <w:fldChar w:fldCharType="begin"/>
      </w:r>
      <w:r>
        <w:instrText xml:space="preserve"> SEQ Figure \* ARABIC </w:instrText>
      </w:r>
      <w:r>
        <w:fldChar w:fldCharType="separate"/>
      </w:r>
      <w:r w:rsidR="00BE4FA0">
        <w:rPr>
          <w:noProof/>
        </w:rPr>
        <w:t>3</w:t>
      </w:r>
      <w:r>
        <w:fldChar w:fldCharType="end"/>
      </w:r>
      <w:bookmarkEnd w:id="44"/>
      <w:r>
        <w:t xml:space="preserve"> </w:t>
      </w:r>
      <w:r w:rsidR="00B5677F">
        <w:t xml:space="preserve">– </w:t>
      </w:r>
      <w:r>
        <w:t xml:space="preserve">Latency for </w:t>
      </w:r>
      <w:r w:rsidR="000409E0">
        <w:t>two-</w:t>
      </w:r>
      <w:r>
        <w:t>step RA procedure</w:t>
      </w:r>
      <w:bookmarkEnd w:id="45"/>
      <w:r w:rsidR="00B5677F">
        <w:t>.</w:t>
      </w:r>
    </w:p>
    <w:p w14:paraId="5BDC3518" w14:textId="23CBE7E1" w:rsidR="00801BF4" w:rsidRDefault="00394BA9" w:rsidP="00801BF4">
      <w:r>
        <w:t xml:space="preserve">In </w:t>
      </w:r>
      <w:r w:rsidR="00230236">
        <w:fldChar w:fldCharType="begin"/>
      </w:r>
      <w:r w:rsidR="00230236">
        <w:instrText xml:space="preserve"> REF _Ref471214968 \r \h </w:instrText>
      </w:r>
      <w:r w:rsidR="00230236">
        <w:fldChar w:fldCharType="separate"/>
      </w:r>
      <w:r w:rsidR="00BE4FA0">
        <w:t>[2]</w:t>
      </w:r>
      <w:r w:rsidR="00230236">
        <w:fldChar w:fldCharType="end"/>
      </w:r>
      <w:r w:rsidR="00230236">
        <w:t xml:space="preserve"> </w:t>
      </w:r>
      <w:r>
        <w:t xml:space="preserve">a procedure for small data transmissions is proposed where UP data is multiplexed with Message 3 in order to reduce latency for the data transmission. In cases where a </w:t>
      </w:r>
      <w:r w:rsidR="000409E0">
        <w:t>two-</w:t>
      </w:r>
      <w:r>
        <w:t xml:space="preserve">step RA </w:t>
      </w:r>
      <w:r w:rsidR="00C92AB1">
        <w:t>is applied</w:t>
      </w:r>
      <w:r>
        <w:t>, this latency could be reduced even further.</w:t>
      </w:r>
      <w:r w:rsidR="001B2A79">
        <w:t xml:space="preserve"> </w:t>
      </w:r>
    </w:p>
    <w:p w14:paraId="50ACEC62" w14:textId="405752A9" w:rsidR="00C76439" w:rsidRPr="005F112C" w:rsidRDefault="00C76439" w:rsidP="00C76439">
      <w:pPr>
        <w:rPr>
          <w:b/>
        </w:rPr>
      </w:pPr>
      <w:r>
        <w:t xml:space="preserve">The RA latency will also impact the control plane latency. </w:t>
      </w:r>
      <w:r w:rsidRPr="00C055C6">
        <w:rPr>
          <w:rFonts w:eastAsiaTheme="minorEastAsia" w:cs="Arial"/>
        </w:rPr>
        <w:t>From TR 38.913, the control plane latency or the time it takes to move from a battery efficient state (e.g., IDLE) to start of continuous data transfer (e.g., ACTIVE) is targeted to be 10ms.</w:t>
      </w:r>
      <w:r>
        <w:rPr>
          <w:rFonts w:eastAsiaTheme="minorEastAsia" w:cs="Arial"/>
        </w:rPr>
        <w:t xml:space="preserve"> If an RRC Resume procedure is used where data is transmitted simultaneously with Msg 3, an upper bound based on the </w:t>
      </w:r>
      <w:r w:rsidR="001A1025">
        <w:rPr>
          <w:rFonts w:eastAsiaTheme="minorEastAsia" w:cs="Arial"/>
        </w:rPr>
        <w:t>four-step</w:t>
      </w:r>
      <w:r>
        <w:rPr>
          <w:rFonts w:eastAsiaTheme="minorEastAsia" w:cs="Arial"/>
        </w:rPr>
        <w:t xml:space="preserve"> procedure is </w:t>
      </w:r>
      <w:r w:rsidR="00F57828">
        <w:rPr>
          <w:rFonts w:eastAsiaTheme="minorEastAsia" w:cs="Arial"/>
        </w:rPr>
        <w:t>9</w:t>
      </w:r>
      <w:r>
        <w:rPr>
          <w:rFonts w:eastAsiaTheme="minorEastAsia" w:cs="Arial"/>
        </w:rPr>
        <w:t xml:space="preserve">ms. </w:t>
      </w:r>
      <w:r w:rsidR="00F57828">
        <w:rPr>
          <w:rFonts w:eastAsiaTheme="minorEastAsia" w:cs="Arial"/>
        </w:rPr>
        <w:t>Hence, even without c</w:t>
      </w:r>
      <w:r>
        <w:rPr>
          <w:rFonts w:eastAsiaTheme="minorEastAsia" w:cs="Arial"/>
        </w:rPr>
        <w:t xml:space="preserve">onsidering the </w:t>
      </w:r>
      <w:r w:rsidRPr="00C055C6">
        <w:rPr>
          <w:rFonts w:eastAsiaTheme="minorEastAsia" w:cs="Arial"/>
        </w:rPr>
        <w:t>L1 optimizations such as shortening of TTIs</w:t>
      </w:r>
      <w:r>
        <w:rPr>
          <w:rFonts w:eastAsiaTheme="minorEastAsia" w:cs="Arial"/>
        </w:rPr>
        <w:t>, the target of 10ms control plane latency can be met</w:t>
      </w:r>
      <w:r w:rsidR="00F57828">
        <w:rPr>
          <w:rFonts w:eastAsiaTheme="minorEastAsia" w:cs="Arial"/>
        </w:rPr>
        <w:t xml:space="preserve"> if data can be multiplexed with Msg 3</w:t>
      </w:r>
      <w:r>
        <w:rPr>
          <w:rFonts w:eastAsiaTheme="minorEastAsia" w:cs="Arial"/>
        </w:rPr>
        <w:t>.</w:t>
      </w:r>
    </w:p>
    <w:p w14:paraId="14F53A6E" w14:textId="2CD3FA66" w:rsidR="00C76439" w:rsidRDefault="00C76439" w:rsidP="00C76439">
      <w:pPr>
        <w:rPr>
          <w:rFonts w:eastAsiaTheme="minorEastAsia" w:cs="Arial"/>
        </w:rPr>
      </w:pPr>
      <w:r>
        <w:t xml:space="preserve">These RA latencies </w:t>
      </w:r>
      <w:r w:rsidR="004F3940">
        <w:t xml:space="preserve">discussed above especially for 4-step RA </w:t>
      </w:r>
      <w:r>
        <w:t>can be seen as an upper bound for RA latency in NR.</w:t>
      </w:r>
      <w:r>
        <w:rPr>
          <w:rFonts w:eastAsiaTheme="minorEastAsia" w:cs="Arial"/>
        </w:rPr>
        <w:t xml:space="preserve"> However, additional shortening of the RA latency could be achieved by lowering the allowed processing times at the UE and gNB. For example by using a configurable start of the RAR window from e.g. 1 to 3 subframes after the preamble, and specifying a reduced processing time for the UE before transmitting Msg3 together with reduced time for the gNB to complete contention resolution and reply with Msg4, the four step random access </w:t>
      </w:r>
      <w:r w:rsidR="00F57828">
        <w:rPr>
          <w:rFonts w:eastAsiaTheme="minorEastAsia" w:cs="Arial"/>
        </w:rPr>
        <w:t>latency would be significantly reduced</w:t>
      </w:r>
      <w:r>
        <w:rPr>
          <w:rFonts w:eastAsiaTheme="minorEastAsia" w:cs="Arial"/>
        </w:rPr>
        <w:t xml:space="preserve">. Considering the latencies envisioned for NR </w:t>
      </w:r>
      <w:r w:rsidR="00F57828">
        <w:rPr>
          <w:rFonts w:eastAsiaTheme="minorEastAsia" w:cs="Arial"/>
        </w:rPr>
        <w:t>for</w:t>
      </w:r>
      <w:r>
        <w:rPr>
          <w:rFonts w:eastAsiaTheme="minorEastAsia" w:cs="Arial"/>
        </w:rPr>
        <w:t xml:space="preserve"> SR to grant latency or H</w:t>
      </w:r>
      <w:r w:rsidR="00A659E8">
        <w:rPr>
          <w:rFonts w:eastAsiaTheme="minorEastAsia" w:cs="Arial"/>
        </w:rPr>
        <w:t>ARQ</w:t>
      </w:r>
      <w:r>
        <w:rPr>
          <w:rFonts w:eastAsiaTheme="minorEastAsia" w:cs="Arial"/>
        </w:rPr>
        <w:t xml:space="preserve"> retransmissions </w:t>
      </w:r>
      <w:r w:rsidR="00FC19C3">
        <w:rPr>
          <w:rFonts w:eastAsiaTheme="minorEastAsia" w:cs="Arial"/>
        </w:rPr>
        <w:t>in RAN1</w:t>
      </w:r>
      <w:r>
        <w:rPr>
          <w:rFonts w:eastAsiaTheme="minorEastAsia" w:cs="Arial"/>
        </w:rPr>
        <w:t xml:space="preserve">, reduction of the processing times in the RA procedure should </w:t>
      </w:r>
      <w:r w:rsidR="00F57828">
        <w:rPr>
          <w:rFonts w:eastAsiaTheme="minorEastAsia" w:cs="Arial"/>
        </w:rPr>
        <w:t>also be possible</w:t>
      </w:r>
      <w:r>
        <w:rPr>
          <w:rFonts w:eastAsiaTheme="minorEastAsia" w:cs="Arial"/>
        </w:rPr>
        <w:t xml:space="preserve"> to achieve.</w:t>
      </w:r>
    </w:p>
    <w:p w14:paraId="1ECF44BC" w14:textId="44BE7E5D" w:rsidR="00C76439" w:rsidRDefault="00C76439" w:rsidP="00C76439">
      <w:pPr>
        <w:pStyle w:val="Observation"/>
      </w:pPr>
      <w:bookmarkStart w:id="46" w:name="_Toc471385793"/>
      <w:bookmarkStart w:id="47" w:name="_Toc471387741"/>
      <w:bookmarkStart w:id="48" w:name="_Toc471479295"/>
      <w:bookmarkStart w:id="49" w:name="_Toc471496478"/>
      <w:r>
        <w:lastRenderedPageBreak/>
        <w:t>Reducing the allowed processing time between the RA messages would reduce the RA latency</w:t>
      </w:r>
      <w:bookmarkEnd w:id="46"/>
      <w:bookmarkEnd w:id="47"/>
      <w:bookmarkEnd w:id="48"/>
      <w:bookmarkEnd w:id="49"/>
    </w:p>
    <w:p w14:paraId="5B029192" w14:textId="587639C9" w:rsidR="001A1025" w:rsidRDefault="001A1025" w:rsidP="00C76439">
      <w:pPr>
        <w:pStyle w:val="Observation"/>
      </w:pPr>
      <w:bookmarkStart w:id="50" w:name="_Toc471387742"/>
      <w:bookmarkStart w:id="51" w:name="_Toc471479296"/>
      <w:bookmarkStart w:id="52" w:name="_Toc471496479"/>
      <w:r w:rsidRPr="005F112C">
        <w:rPr>
          <w:rFonts w:eastAsiaTheme="minorEastAsia" w:cs="Arial"/>
        </w:rPr>
        <w:t xml:space="preserve">Reducing the latency </w:t>
      </w:r>
      <w:r>
        <w:rPr>
          <w:rFonts w:eastAsiaTheme="minorEastAsia" w:cs="Arial"/>
        </w:rPr>
        <w:t xml:space="preserve">for four-step RA </w:t>
      </w:r>
      <w:r w:rsidRPr="005F112C">
        <w:rPr>
          <w:rFonts w:eastAsiaTheme="minorEastAsia" w:cs="Arial"/>
        </w:rPr>
        <w:t>would reduce the need for the two-step RA in cases where short latency is desired</w:t>
      </w:r>
      <w:bookmarkEnd w:id="50"/>
      <w:bookmarkEnd w:id="51"/>
      <w:bookmarkEnd w:id="52"/>
    </w:p>
    <w:p w14:paraId="108CB1AC" w14:textId="77777777" w:rsidR="00C76439" w:rsidRDefault="00C76439" w:rsidP="00C76439">
      <w:pPr>
        <w:pStyle w:val="Proposal"/>
      </w:pPr>
      <w:bookmarkStart w:id="53" w:name="_Toc471385796"/>
      <w:bookmarkStart w:id="54" w:name="_Toc471385847"/>
      <w:bookmarkStart w:id="55" w:name="_Toc471387760"/>
      <w:bookmarkStart w:id="56" w:name="_Toc471479299"/>
      <w:bookmarkStart w:id="57" w:name="_Toc471496482"/>
      <w:r>
        <w:t>NR should support a configurable start of the RAR window where the minimum start time is 1 SF.</w:t>
      </w:r>
      <w:bookmarkEnd w:id="53"/>
      <w:bookmarkEnd w:id="54"/>
      <w:bookmarkEnd w:id="55"/>
      <w:bookmarkEnd w:id="56"/>
      <w:bookmarkEnd w:id="57"/>
    </w:p>
    <w:p w14:paraId="0088D101" w14:textId="312AF730" w:rsidR="00C76439" w:rsidRDefault="00C76439" w:rsidP="00C76439">
      <w:pPr>
        <w:pStyle w:val="Proposal"/>
      </w:pPr>
      <w:bookmarkStart w:id="58" w:name="_Toc471385797"/>
      <w:bookmarkStart w:id="59" w:name="_Toc471385848"/>
      <w:bookmarkStart w:id="60" w:name="_Toc471387761"/>
      <w:bookmarkStart w:id="61" w:name="_Toc471479300"/>
      <w:bookmarkStart w:id="62" w:name="_Toc471496483"/>
      <w:r>
        <w:t>NR should define a shorter response time for M</w:t>
      </w:r>
      <w:r w:rsidR="00F57828">
        <w:t xml:space="preserve">essage </w:t>
      </w:r>
      <w:r>
        <w:t>3</w:t>
      </w:r>
      <w:bookmarkEnd w:id="58"/>
      <w:bookmarkEnd w:id="59"/>
      <w:bookmarkEnd w:id="60"/>
      <w:bookmarkEnd w:id="61"/>
      <w:bookmarkEnd w:id="62"/>
    </w:p>
    <w:p w14:paraId="1BC6CBB6" w14:textId="6BB1A6E4" w:rsidR="00C76439" w:rsidRDefault="00C76439" w:rsidP="00C76439">
      <w:pPr>
        <w:pStyle w:val="Proposal"/>
      </w:pPr>
      <w:bookmarkStart w:id="63" w:name="_Toc471385798"/>
      <w:bookmarkStart w:id="64" w:name="_Toc471385849"/>
      <w:bookmarkStart w:id="65" w:name="_Toc471387762"/>
      <w:bookmarkStart w:id="66" w:name="_Toc471479301"/>
      <w:bookmarkStart w:id="67" w:name="_Toc471496484"/>
      <w:r>
        <w:t>NR should define a shorter response time for M</w:t>
      </w:r>
      <w:r w:rsidR="00F57828">
        <w:t>essage</w:t>
      </w:r>
      <w:bookmarkEnd w:id="63"/>
      <w:r w:rsidR="00F57828">
        <w:t xml:space="preserve"> 4</w:t>
      </w:r>
      <w:bookmarkEnd w:id="64"/>
      <w:bookmarkEnd w:id="65"/>
      <w:bookmarkEnd w:id="66"/>
      <w:bookmarkEnd w:id="67"/>
    </w:p>
    <w:p w14:paraId="1E8763D1" w14:textId="1DC84FC3" w:rsidR="001A1025" w:rsidRPr="00D97E38" w:rsidRDefault="001A1025" w:rsidP="00D97E38">
      <w:pPr>
        <w:rPr>
          <w:rFonts w:eastAsiaTheme="minorEastAsia" w:cs="Arial"/>
        </w:rPr>
      </w:pPr>
      <w:r w:rsidRPr="00D97E38">
        <w:rPr>
          <w:rFonts w:eastAsiaTheme="minorEastAsia" w:cs="Arial"/>
        </w:rPr>
        <w:t xml:space="preserve">Reducing the latency </w:t>
      </w:r>
      <w:r>
        <w:rPr>
          <w:rFonts w:eastAsiaTheme="minorEastAsia" w:cs="Arial"/>
        </w:rPr>
        <w:t>of the four-step RA and thereby</w:t>
      </w:r>
      <w:r w:rsidRPr="00D97E38">
        <w:rPr>
          <w:rFonts w:eastAsiaTheme="minorEastAsia" w:cs="Arial"/>
        </w:rPr>
        <w:t xml:space="preserve"> reduc</w:t>
      </w:r>
      <w:r>
        <w:rPr>
          <w:rFonts w:eastAsiaTheme="minorEastAsia" w:cs="Arial"/>
        </w:rPr>
        <w:t>ing</w:t>
      </w:r>
      <w:r w:rsidRPr="00D97E38">
        <w:rPr>
          <w:rFonts w:eastAsiaTheme="minorEastAsia" w:cs="Arial"/>
        </w:rPr>
        <w:t xml:space="preserve"> the need for the two-step </w:t>
      </w:r>
      <w:r>
        <w:rPr>
          <w:rFonts w:eastAsiaTheme="minorEastAsia" w:cs="Arial"/>
        </w:rPr>
        <w:t xml:space="preserve">RA </w:t>
      </w:r>
      <w:r w:rsidRPr="00D97E38">
        <w:rPr>
          <w:rFonts w:eastAsiaTheme="minorEastAsia" w:cs="Arial"/>
        </w:rPr>
        <w:t>i</w:t>
      </w:r>
      <w:r>
        <w:rPr>
          <w:rFonts w:eastAsiaTheme="minorEastAsia" w:cs="Arial"/>
        </w:rPr>
        <w:t>s advantageous from two aspects. First</w:t>
      </w:r>
      <w:r w:rsidRPr="00D97E38">
        <w:rPr>
          <w:rFonts w:eastAsiaTheme="minorEastAsia" w:cs="Arial"/>
        </w:rPr>
        <w:t xml:space="preserve"> the two-step RA is not applicable in all cases and </w:t>
      </w:r>
      <w:r>
        <w:rPr>
          <w:rFonts w:eastAsiaTheme="minorEastAsia" w:cs="Arial"/>
        </w:rPr>
        <w:t xml:space="preserve">secondly, </w:t>
      </w:r>
      <w:r w:rsidRPr="00D97E38">
        <w:rPr>
          <w:rFonts w:eastAsiaTheme="minorEastAsia" w:cs="Arial"/>
        </w:rPr>
        <w:t>the two-step RA is less resource efficie</w:t>
      </w:r>
      <w:r>
        <w:rPr>
          <w:rFonts w:eastAsiaTheme="minorEastAsia" w:cs="Arial"/>
        </w:rPr>
        <w:t xml:space="preserve">nt since more resources must be made </w:t>
      </w:r>
      <w:r w:rsidRPr="00D97E38">
        <w:rPr>
          <w:rFonts w:eastAsiaTheme="minorEastAsia" w:cs="Arial"/>
        </w:rPr>
        <w:t>available for contention based access.</w:t>
      </w:r>
    </w:p>
    <w:p w14:paraId="29EDAFE3" w14:textId="77777777" w:rsidR="00CE0424" w:rsidRDefault="00801BF4" w:rsidP="00801BF4">
      <w:pPr>
        <w:pStyle w:val="Heading3"/>
      </w:pPr>
      <w:r>
        <w:t xml:space="preserve">Options for transmitting small data with </w:t>
      </w:r>
      <w:r w:rsidR="000409E0">
        <w:t>two-</w:t>
      </w:r>
      <w:r w:rsidR="005B66F5">
        <w:t>s</w:t>
      </w:r>
      <w:r>
        <w:t>tep RA</w:t>
      </w:r>
    </w:p>
    <w:p w14:paraId="1E816CF6" w14:textId="6974ACE7" w:rsidR="00A4726D" w:rsidRDefault="008E0199" w:rsidP="00801BF4">
      <w:r>
        <w:t>R</w:t>
      </w:r>
      <w:r w:rsidR="00A4726D">
        <w:t>andom access procedure</w:t>
      </w:r>
      <w:r w:rsidR="001E6F59">
        <w:t>s</w:t>
      </w:r>
      <w:r w:rsidR="00A4726D">
        <w:t xml:space="preserve"> </w:t>
      </w:r>
      <w:r w:rsidR="001E6F59">
        <w:t xml:space="preserve">are </w:t>
      </w:r>
      <w:r w:rsidR="00A4726D">
        <w:t>performed for different reasons</w:t>
      </w:r>
      <w:r w:rsidR="001E6F59">
        <w:t>.</w:t>
      </w:r>
      <w:r w:rsidR="00A4726D">
        <w:t xml:space="preserve"> </w:t>
      </w:r>
      <w:r w:rsidR="001E6F59">
        <w:t>O</w:t>
      </w:r>
      <w:r w:rsidR="00A4726D">
        <w:t xml:space="preserve">ne reason is that a UE in RRC </w:t>
      </w:r>
      <w:r w:rsidR="001E6F59">
        <w:t xml:space="preserve">CONNECTED </w:t>
      </w:r>
      <w:r w:rsidR="00A4726D">
        <w:t>does not have a valid grant nor SR-resources</w:t>
      </w:r>
      <w:r w:rsidR="001E6F59">
        <w:t>,</w:t>
      </w:r>
      <w:r w:rsidR="00A4726D">
        <w:t xml:space="preserve"> and the RA procedure </w:t>
      </w:r>
      <w:r w:rsidR="001E6F59">
        <w:t xml:space="preserve">is used to </w:t>
      </w:r>
      <w:r w:rsidR="00A4726D">
        <w:t>get a</w:t>
      </w:r>
      <w:r w:rsidR="001E6F59">
        <w:t>n UL</w:t>
      </w:r>
      <w:r w:rsidR="00A4726D">
        <w:t xml:space="preserve"> grant</w:t>
      </w:r>
      <w:r w:rsidR="001E6F59">
        <w:t xml:space="preserve"> (</w:t>
      </w:r>
      <w:r w:rsidR="00A4726D">
        <w:t>which is received in the RA</w:t>
      </w:r>
      <w:r w:rsidR="001E6F59">
        <w:t>R)</w:t>
      </w:r>
      <w:r w:rsidR="00A4726D">
        <w:t xml:space="preserve">. This grant can in principle be very large </w:t>
      </w:r>
      <w:r w:rsidR="001E6F59">
        <w:t xml:space="preserve">allowing the UE to transmit data directly, </w:t>
      </w:r>
      <w:r w:rsidR="00A4726D">
        <w:t xml:space="preserve">but </w:t>
      </w:r>
      <w:r w:rsidR="001E6F59">
        <w:t xml:space="preserve">to avoid resource waste the grant in the RAR is in general </w:t>
      </w:r>
      <w:r w:rsidR="00A4726D">
        <w:t>small and intended for the UE to transmit a BSR</w:t>
      </w:r>
      <w:r w:rsidR="001E6F59">
        <w:t>.</w:t>
      </w:r>
      <w:r w:rsidR="00A4726D">
        <w:t xml:space="preserve"> </w:t>
      </w:r>
      <w:r w:rsidR="001E6F59">
        <w:t>A</w:t>
      </w:r>
      <w:r w:rsidR="00A4726D">
        <w:t xml:space="preserve">nd based on the BSR the </w:t>
      </w:r>
      <w:r w:rsidR="00230236">
        <w:t>gNB</w:t>
      </w:r>
      <w:r w:rsidR="00A4726D">
        <w:t xml:space="preserve"> can give the UE a suitable grant</w:t>
      </w:r>
      <w:r w:rsidR="001E6F59">
        <w:t xml:space="preserve"> for the data</w:t>
      </w:r>
      <w:r w:rsidR="00A4726D">
        <w:t xml:space="preserve">. So, in general the UE will not send the actual data in Msg3 transmission and instead the data is delayed to a later message. In this section we discuss how to </w:t>
      </w:r>
      <w:r w:rsidR="001E6F59">
        <w:t>reduce delay even further by sending data directly during the two-step RA procedure.</w:t>
      </w:r>
    </w:p>
    <w:p w14:paraId="663DD682" w14:textId="3C1A0F9D" w:rsidR="00960D3A" w:rsidRDefault="00801BF4" w:rsidP="00801BF4">
      <w:r>
        <w:t xml:space="preserve">There are basically two options for transmitting </w:t>
      </w:r>
      <w:r w:rsidR="00662611">
        <w:t xml:space="preserve">small </w:t>
      </w:r>
      <w:r>
        <w:t xml:space="preserve">data using the </w:t>
      </w:r>
      <w:r w:rsidR="000409E0">
        <w:t>two-</w:t>
      </w:r>
      <w:r>
        <w:t xml:space="preserve">step RA procedure. One would be to follow the thinking in </w:t>
      </w:r>
      <w:r w:rsidR="000B7D2C">
        <w:t>[1]</w:t>
      </w:r>
      <w:r w:rsidR="00FD3F6B">
        <w:t xml:space="preserve"> </w:t>
      </w:r>
      <w:r>
        <w:t>and multiplex the data together with Msg3. This would make the transmission to be basically instant, i.e. taking place in the same subframe as the Msg3</w:t>
      </w:r>
      <w:r w:rsidR="00C92AB1">
        <w:t xml:space="preserve"> </w:t>
      </w:r>
      <w:r w:rsidR="005B66F5">
        <w:t>is</w:t>
      </w:r>
      <w:r w:rsidR="00C92AB1">
        <w:t xml:space="preserve"> transmitted</w:t>
      </w:r>
      <w:r>
        <w:t>.</w:t>
      </w:r>
      <w:r w:rsidR="007C1870">
        <w:t xml:space="preserve"> In this case, the resources reserved for Msg3 and data transmission are </w:t>
      </w:r>
      <w:r w:rsidR="009D5A94">
        <w:t>configurable</w:t>
      </w:r>
      <w:r w:rsidR="007C1870">
        <w:t xml:space="preserve"> and known by </w:t>
      </w:r>
      <w:r w:rsidR="009D5A94">
        <w:t xml:space="preserve">both the </w:t>
      </w:r>
      <w:r w:rsidR="00230236">
        <w:t>gNB</w:t>
      </w:r>
      <w:r w:rsidR="009D5A94">
        <w:t xml:space="preserve"> and </w:t>
      </w:r>
      <w:r w:rsidR="007C1870">
        <w:t>the UE.</w:t>
      </w:r>
      <w:r w:rsidR="00A85262">
        <w:t xml:space="preserve"> In case</w:t>
      </w:r>
      <w:r w:rsidR="00BF4552">
        <w:t xml:space="preserve"> data is transmitted with Msg3,</w:t>
      </w:r>
      <w:r w:rsidR="00A85262">
        <w:t xml:space="preserve"> the transmission of Msg4 would imply both contention resolution and acknowledgement of the data.</w:t>
      </w:r>
    </w:p>
    <w:p w14:paraId="6D5B1B75" w14:textId="77777777" w:rsidR="004168D8" w:rsidRDefault="000244F0" w:rsidP="000244F0">
      <w:pPr>
        <w:pStyle w:val="Proposal"/>
      </w:pPr>
      <w:bookmarkStart w:id="68" w:name="_Toc462055692"/>
      <w:bookmarkStart w:id="69" w:name="_Toc462056085"/>
      <w:bookmarkStart w:id="70" w:name="_Toc462056139"/>
      <w:bookmarkStart w:id="71" w:name="_Toc462384595"/>
      <w:bookmarkStart w:id="72" w:name="_Toc463033473"/>
      <w:bookmarkStart w:id="73" w:name="_Toc463033596"/>
      <w:bookmarkStart w:id="74" w:name="_Toc466063204"/>
      <w:bookmarkStart w:id="75" w:name="_Toc471214644"/>
      <w:bookmarkStart w:id="76" w:name="_Toc471385799"/>
      <w:bookmarkStart w:id="77" w:name="_Toc471385850"/>
      <w:bookmarkStart w:id="78" w:name="_Toc471387763"/>
      <w:bookmarkStart w:id="79" w:name="_Toc471479302"/>
      <w:bookmarkStart w:id="80" w:name="_Toc462726372"/>
      <w:bookmarkStart w:id="81" w:name="_Toc462726636"/>
      <w:bookmarkStart w:id="82" w:name="_Toc462840569"/>
      <w:bookmarkStart w:id="83" w:name="_Toc471496485"/>
      <w:r>
        <w:t xml:space="preserve">Consider transmitting small UP data simultaneously with </w:t>
      </w:r>
      <w:r w:rsidR="008036A1">
        <w:t>Msg3</w:t>
      </w:r>
      <w:r>
        <w:t xml:space="preserve"> in the </w:t>
      </w:r>
      <w:r w:rsidR="00AD3C95">
        <w:t>two</w:t>
      </w:r>
      <w:r>
        <w:t>-step RA.</w:t>
      </w:r>
      <w:bookmarkEnd w:id="68"/>
      <w:bookmarkEnd w:id="69"/>
      <w:bookmarkEnd w:id="70"/>
      <w:bookmarkEnd w:id="71"/>
      <w:bookmarkEnd w:id="72"/>
      <w:bookmarkEnd w:id="73"/>
      <w:bookmarkEnd w:id="74"/>
      <w:bookmarkEnd w:id="75"/>
      <w:bookmarkEnd w:id="76"/>
      <w:bookmarkEnd w:id="77"/>
      <w:bookmarkEnd w:id="78"/>
      <w:bookmarkEnd w:id="79"/>
      <w:bookmarkEnd w:id="83"/>
      <w:r>
        <w:t xml:space="preserve"> </w:t>
      </w:r>
      <w:bookmarkEnd w:id="80"/>
      <w:bookmarkEnd w:id="81"/>
      <w:bookmarkEnd w:id="82"/>
    </w:p>
    <w:p w14:paraId="5B39365D" w14:textId="4125E6FD" w:rsidR="004168D8" w:rsidRDefault="004168D8" w:rsidP="00801BF4">
      <w:r>
        <w:t xml:space="preserve">The second option is to transmit the data immediately following the DL transmission, i.e. after the reception of Msg2 and Msg4. In this case, a grant should be given simultaneously with the transmission of Msg2 and Msg4 to allow dynamic scheduling. This means that a data size indication (BSR type) could be supplied in Msg3 to let the </w:t>
      </w:r>
      <w:r w:rsidR="00230236">
        <w:t>gNB</w:t>
      </w:r>
      <w:r>
        <w:t xml:space="preserve"> know what amount of data the UE wishes to transmit. In order to fully utilize the potential of the two-step RA, the delay from when the UE obtains the grant until it can transmit on the UL should be reduced significantly compared to current LTE where this latency is 4 TTIs (grant received in TTI x, UL transmission in x+4). Work is ongoing in RAN1 to shorten this time and allow transmission already in the TTI after the received grant.</w:t>
      </w:r>
    </w:p>
    <w:p w14:paraId="3CE76620" w14:textId="35CBCDF6" w:rsidR="004168D8" w:rsidRDefault="004168D8" w:rsidP="004168D8">
      <w:pPr>
        <w:pStyle w:val="Proposal"/>
      </w:pPr>
      <w:bookmarkStart w:id="84" w:name="_Toc463033474"/>
      <w:bookmarkStart w:id="85" w:name="_Toc463033597"/>
      <w:bookmarkStart w:id="86" w:name="_Toc466063205"/>
      <w:bookmarkStart w:id="87" w:name="_Toc471214645"/>
      <w:bookmarkStart w:id="88" w:name="_Toc471385800"/>
      <w:bookmarkStart w:id="89" w:name="_Toc471385851"/>
      <w:bookmarkStart w:id="90" w:name="_Toc471387764"/>
      <w:bookmarkStart w:id="91" w:name="_Toc471479303"/>
      <w:bookmarkStart w:id="92" w:name="_Toc462726374"/>
      <w:bookmarkStart w:id="93" w:name="_Toc462726638"/>
      <w:bookmarkStart w:id="94" w:name="_Toc462840571"/>
      <w:bookmarkStart w:id="95" w:name="_Toc471496486"/>
      <w:r>
        <w:t xml:space="preserve">The Message 3 should be able to carry a data size indicator to allow the </w:t>
      </w:r>
      <w:r w:rsidR="00230236">
        <w:t>gNB</w:t>
      </w:r>
      <w:r>
        <w:t xml:space="preserve"> to supply a grant after the contention resolution has been completed.</w:t>
      </w:r>
      <w:bookmarkEnd w:id="84"/>
      <w:bookmarkEnd w:id="85"/>
      <w:bookmarkEnd w:id="86"/>
      <w:bookmarkEnd w:id="87"/>
      <w:bookmarkEnd w:id="88"/>
      <w:bookmarkEnd w:id="89"/>
      <w:bookmarkEnd w:id="90"/>
      <w:bookmarkEnd w:id="91"/>
      <w:bookmarkEnd w:id="95"/>
      <w:r>
        <w:t xml:space="preserve"> </w:t>
      </w:r>
      <w:bookmarkEnd w:id="92"/>
      <w:bookmarkEnd w:id="93"/>
      <w:bookmarkEnd w:id="94"/>
    </w:p>
    <w:p w14:paraId="1445B963" w14:textId="0EF9682A" w:rsidR="00801BF4" w:rsidRPr="00801BF4" w:rsidRDefault="00662611" w:rsidP="00801BF4">
      <w:r>
        <w:t>In case the data transmission takes place after the reception of Msg2 and Msg4,</w:t>
      </w:r>
      <w:r w:rsidR="00801BF4">
        <w:t xml:space="preserve"> the data transmission </w:t>
      </w:r>
      <w:r w:rsidR="00CD774B">
        <w:t>c</w:t>
      </w:r>
      <w:r w:rsidR="00801BF4">
        <w:t xml:space="preserve">ould take place on a </w:t>
      </w:r>
      <w:r w:rsidR="00A8000D">
        <w:t>contention-</w:t>
      </w:r>
      <w:r>
        <w:t xml:space="preserve">based </w:t>
      </w:r>
      <w:r w:rsidR="00801BF4">
        <w:t>channel.</w:t>
      </w:r>
      <w:r w:rsidR="007F02E0">
        <w:t xml:space="preserve"> </w:t>
      </w:r>
      <w:r w:rsidR="00C64400">
        <w:t>Also here</w:t>
      </w:r>
      <w:r w:rsidR="007F02E0">
        <w:t xml:space="preserve">, the transmission </w:t>
      </w:r>
      <w:r w:rsidR="00C64400">
        <w:t>c</w:t>
      </w:r>
      <w:r w:rsidR="007F02E0">
        <w:t xml:space="preserve">ould take place </w:t>
      </w:r>
      <w:r w:rsidR="00C64400">
        <w:t>immediately after receiving the DL m</w:t>
      </w:r>
      <w:r w:rsidR="00F22987">
        <w:t>e</w:t>
      </w:r>
      <w:r w:rsidR="00C64400">
        <w:t xml:space="preserve">ssages, i.e. </w:t>
      </w:r>
      <w:r w:rsidR="007F02E0">
        <w:t>in subframe x+5</w:t>
      </w:r>
      <w:r w:rsidR="00CD774B">
        <w:t xml:space="preserve">. A possible advantage </w:t>
      </w:r>
      <w:r w:rsidR="003D39C6">
        <w:t xml:space="preserve">of </w:t>
      </w:r>
      <w:r w:rsidR="00CD774B">
        <w:t xml:space="preserve">transmitting the data in the TTI after the </w:t>
      </w:r>
      <w:r w:rsidR="000409E0">
        <w:t>two-</w:t>
      </w:r>
      <w:r w:rsidR="00CD774B">
        <w:t>step procedure</w:t>
      </w:r>
      <w:r w:rsidR="00C64400">
        <w:t xml:space="preserve"> compared to transmitting it simultaneously with Msg1 and </w:t>
      </w:r>
      <w:r>
        <w:t xml:space="preserve">Msg3 </w:t>
      </w:r>
      <w:r w:rsidR="00CD774B">
        <w:t>would be that there has been a contention resolution at this point and the data resource is not used by a colliding user (</w:t>
      </w:r>
      <w:r w:rsidR="00C64400">
        <w:t xml:space="preserve">however, </w:t>
      </w:r>
      <w:r w:rsidR="00CD774B">
        <w:t xml:space="preserve">this could happen </w:t>
      </w:r>
      <w:r w:rsidR="00C64400">
        <w:t xml:space="preserve">if data goes over </w:t>
      </w:r>
      <w:r w:rsidR="00CD774B">
        <w:t xml:space="preserve">a </w:t>
      </w:r>
      <w:r>
        <w:t xml:space="preserve">contention based </w:t>
      </w:r>
      <w:r w:rsidR="00CD774B">
        <w:t>channel</w:t>
      </w:r>
      <w:r w:rsidR="00C64400">
        <w:t xml:space="preserve"> after contention resolution</w:t>
      </w:r>
      <w:r w:rsidR="00CD774B">
        <w:t>).</w:t>
      </w:r>
    </w:p>
    <w:p w14:paraId="51E5C3AF" w14:textId="77777777" w:rsidR="00F7463B" w:rsidRDefault="00F7463B" w:rsidP="00F7463B">
      <w:pPr>
        <w:pStyle w:val="Heading3"/>
      </w:pPr>
      <w:r>
        <w:t>Preamble groups</w:t>
      </w:r>
    </w:p>
    <w:p w14:paraId="7690FDAB" w14:textId="0FCB49B6" w:rsidR="00F7463B" w:rsidRDefault="00366D65" w:rsidP="00F7463B">
      <w:r>
        <w:t>Large cells typically require the four-step RA since the TA value is unknown. However, the two-step RA w</w:t>
      </w:r>
      <w:r w:rsidR="00D04BD0">
        <w:t>ould work for stationary UEs which</w:t>
      </w:r>
      <w:r>
        <w:t xml:space="preserve"> can reuse their TA value. Support for both four-step and two-step RA would be useful in larger cells where there are stationary UEs.</w:t>
      </w:r>
      <w:r w:rsidR="00F7463B">
        <w:t xml:space="preserve"> </w:t>
      </w:r>
      <w:r w:rsidR="00D55B2F">
        <w:t>The gNB will configure in which situations the two-step RA procedure can be used.</w:t>
      </w:r>
    </w:p>
    <w:p w14:paraId="336074F2" w14:textId="69610D07" w:rsidR="00366D65" w:rsidRDefault="00366D65" w:rsidP="00366D65">
      <w:pPr>
        <w:pStyle w:val="Observation"/>
      </w:pPr>
      <w:bookmarkStart w:id="96" w:name="_Toc465772935"/>
      <w:bookmarkStart w:id="97" w:name="_Toc466063202"/>
      <w:bookmarkStart w:id="98" w:name="_Toc471385794"/>
      <w:bookmarkStart w:id="99" w:name="_Toc471387743"/>
      <w:bookmarkStart w:id="100" w:name="_Toc471479297"/>
      <w:bookmarkStart w:id="101" w:name="_Toc471496480"/>
      <w:r>
        <w:t>Support for both four-step RA and two-step RA is beneficial in large cells.</w:t>
      </w:r>
      <w:bookmarkEnd w:id="96"/>
      <w:bookmarkEnd w:id="97"/>
      <w:bookmarkEnd w:id="98"/>
      <w:bookmarkEnd w:id="99"/>
      <w:bookmarkEnd w:id="100"/>
      <w:bookmarkEnd w:id="101"/>
      <w:r>
        <w:t xml:space="preserve"> </w:t>
      </w:r>
    </w:p>
    <w:p w14:paraId="4B3DA646" w14:textId="2BEE93B6" w:rsidR="00A8000D" w:rsidRDefault="00A8000D" w:rsidP="00A8000D">
      <w:pPr>
        <w:pStyle w:val="Proposal"/>
      </w:pPr>
      <w:bookmarkStart w:id="102" w:name="_Toc471479304"/>
      <w:bookmarkStart w:id="103" w:name="_Toc471496487"/>
      <w:r>
        <w:t>The gNB configures when two-step RA is used.</w:t>
      </w:r>
      <w:bookmarkEnd w:id="102"/>
      <w:bookmarkEnd w:id="103"/>
    </w:p>
    <w:p w14:paraId="16732A14" w14:textId="2BF146D8" w:rsidR="00366D65" w:rsidRDefault="00366D65" w:rsidP="00B5677F">
      <w:r>
        <w:lastRenderedPageBreak/>
        <w:t>In case both four-step and two-step RA is supported in a cell, they could use separate preamble</w:t>
      </w:r>
      <w:r w:rsidR="00C329D2">
        <w:t xml:space="preserve"> signature groups or use separate </w:t>
      </w:r>
      <w:r w:rsidR="005365C5">
        <w:t xml:space="preserve">time/frequency </w:t>
      </w:r>
      <w:r w:rsidR="00C329D2">
        <w:t>resources for preamble transmissions</w:t>
      </w:r>
      <w:r>
        <w:t xml:space="preserve">, to facilitate for the </w:t>
      </w:r>
      <w:r w:rsidR="00230236">
        <w:t>gNB</w:t>
      </w:r>
      <w:r>
        <w:t xml:space="preserve"> to determine if the UE is asking for a two-step RA or a four-step RA.</w:t>
      </w:r>
    </w:p>
    <w:p w14:paraId="5B2203A7" w14:textId="6614450B" w:rsidR="00F32144" w:rsidRDefault="00A8000D" w:rsidP="00F32144">
      <w:pPr>
        <w:pStyle w:val="Heading3"/>
      </w:pPr>
      <w:r>
        <w:t>Fall-back</w:t>
      </w:r>
      <w:r w:rsidR="00F32144">
        <w:t xml:space="preserve"> to </w:t>
      </w:r>
      <w:r w:rsidR="009D7446">
        <w:t>four</w:t>
      </w:r>
      <w:r w:rsidR="00F32144">
        <w:t>-step Random Access</w:t>
      </w:r>
    </w:p>
    <w:p w14:paraId="42F2F4F6" w14:textId="42B9FA80" w:rsidR="00F32144" w:rsidRDefault="00F32144" w:rsidP="00F32144">
      <w:r>
        <w:t>Contention resolution may fail for either preamble or Msg3 (and data in case sent with Msg3) or both. If only the preamble can be detected bu</w:t>
      </w:r>
      <w:r w:rsidR="00D04BD0">
        <w:t>t not Msg3, a fall back to four-</w:t>
      </w:r>
      <w:r>
        <w:t xml:space="preserve">step RA would be possible. In this case the </w:t>
      </w:r>
      <w:r w:rsidR="00230236">
        <w:t>gNB</w:t>
      </w:r>
      <w:r>
        <w:t xml:space="preserve"> responds with a Msg2 </w:t>
      </w:r>
      <w:r w:rsidR="00A85262">
        <w:t xml:space="preserve">(RAR) containing a grant for Msg3 </w:t>
      </w:r>
      <w:r>
        <w:t>as a response to the received preamble. The UE then continues as in the normal four-step procedure, i.e</w:t>
      </w:r>
      <w:r w:rsidR="009D7446">
        <w:t>.</w:t>
      </w:r>
      <w:r>
        <w:t xml:space="preserve"> UE sends a new Msg3 followed by a Msg4 from the </w:t>
      </w:r>
      <w:r w:rsidR="00230236">
        <w:t>gNB</w:t>
      </w:r>
      <w:r>
        <w:t xml:space="preserve"> resolving the contention. This is illustrated in </w:t>
      </w:r>
      <w:r w:rsidR="00A85262">
        <w:fldChar w:fldCharType="begin"/>
      </w:r>
      <w:r w:rsidR="00A85262">
        <w:instrText xml:space="preserve"> REF _Ref462838065 \h </w:instrText>
      </w:r>
      <w:r w:rsidR="00A85262">
        <w:fldChar w:fldCharType="separate"/>
      </w:r>
      <w:r w:rsidR="00BE4FA0">
        <w:t xml:space="preserve">Figure </w:t>
      </w:r>
      <w:r w:rsidR="00BE4FA0">
        <w:rPr>
          <w:noProof/>
        </w:rPr>
        <w:t>4</w:t>
      </w:r>
      <w:r w:rsidR="00A85262">
        <w:fldChar w:fldCharType="end"/>
      </w:r>
      <w:r>
        <w:t>. In case only the preamble collides but the Msg3 is decoded, there should be no problem, since contention resolution can be done only based on Msg3 (and Msg4).</w:t>
      </w:r>
    </w:p>
    <w:p w14:paraId="7DAC4C4B" w14:textId="1CB19AC5" w:rsidR="00F32144" w:rsidRDefault="00893F8E" w:rsidP="00D04BD0">
      <w:pPr>
        <w:pStyle w:val="Figure"/>
      </w:pPr>
      <w:r w:rsidRPr="00D04BD0">
        <w:rPr>
          <w:noProof/>
          <w:lang w:val="sv-SE"/>
        </w:rPr>
        <w:drawing>
          <wp:inline distT="0" distB="0" distL="0" distR="0" wp14:anchorId="49B114FB" wp14:editId="0E603A84">
            <wp:extent cx="4453255" cy="31654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3255" cy="3165475"/>
                    </a:xfrm>
                    <a:prstGeom prst="rect">
                      <a:avLst/>
                    </a:prstGeom>
                    <a:noFill/>
                  </pic:spPr>
                </pic:pic>
              </a:graphicData>
            </a:graphic>
          </wp:inline>
        </w:drawing>
      </w:r>
    </w:p>
    <w:p w14:paraId="55F7CBA9" w14:textId="2AA06D86" w:rsidR="00F32144" w:rsidRDefault="00F32144" w:rsidP="00F32144">
      <w:pPr>
        <w:pStyle w:val="Caption"/>
      </w:pPr>
      <w:bookmarkStart w:id="104" w:name="_Ref462838065"/>
      <w:r>
        <w:t xml:space="preserve">Figure </w:t>
      </w:r>
      <w:r>
        <w:fldChar w:fldCharType="begin"/>
      </w:r>
      <w:r>
        <w:instrText xml:space="preserve"> SEQ Figure \* ARABIC </w:instrText>
      </w:r>
      <w:r>
        <w:fldChar w:fldCharType="separate"/>
      </w:r>
      <w:r w:rsidR="00BE4FA0">
        <w:rPr>
          <w:noProof/>
        </w:rPr>
        <w:t>4</w:t>
      </w:r>
      <w:r>
        <w:fldChar w:fldCharType="end"/>
      </w:r>
      <w:bookmarkEnd w:id="104"/>
      <w:r>
        <w:t xml:space="preserve"> </w:t>
      </w:r>
      <w:r w:rsidR="00D04BD0">
        <w:t xml:space="preserve">– </w:t>
      </w:r>
      <w:r w:rsidR="00A8000D">
        <w:t>Fall-back</w:t>
      </w:r>
      <w:r w:rsidR="00D04BD0">
        <w:t xml:space="preserve"> to four-</w:t>
      </w:r>
      <w:r>
        <w:t>step RA following collision in Msg 3.</w:t>
      </w:r>
    </w:p>
    <w:p w14:paraId="1E4CFA53" w14:textId="361499C8" w:rsidR="00F32144" w:rsidRDefault="00F32144" w:rsidP="00260C43">
      <w:pPr>
        <w:pStyle w:val="Proposal"/>
      </w:pPr>
      <w:bookmarkStart w:id="105" w:name="_Toc462726376"/>
      <w:bookmarkStart w:id="106" w:name="_Toc462726640"/>
      <w:bookmarkStart w:id="107" w:name="_Toc462840573"/>
      <w:bookmarkStart w:id="108" w:name="_Toc463033475"/>
      <w:bookmarkStart w:id="109" w:name="_Toc463033598"/>
      <w:bookmarkStart w:id="110" w:name="_Toc466063206"/>
      <w:bookmarkStart w:id="111" w:name="_Toc471214646"/>
      <w:bookmarkStart w:id="112" w:name="_Toc471385801"/>
      <w:bookmarkStart w:id="113" w:name="_Toc471385852"/>
      <w:bookmarkStart w:id="114" w:name="_Toc471387765"/>
      <w:bookmarkStart w:id="115" w:name="_Toc471479305"/>
      <w:bookmarkStart w:id="116" w:name="_Toc471496488"/>
      <w:r>
        <w:t xml:space="preserve">A </w:t>
      </w:r>
      <w:r w:rsidR="00A8000D">
        <w:t>fall-back</w:t>
      </w:r>
      <w:r>
        <w:t xml:space="preserve"> to ordinary </w:t>
      </w:r>
      <w:r w:rsidR="00AD3C95">
        <w:t>four-</w:t>
      </w:r>
      <w:r>
        <w:t xml:space="preserve">step RA is done in case Message 3 cannot be decoded by </w:t>
      </w:r>
      <w:r w:rsidR="00230236">
        <w:t>gNB</w:t>
      </w:r>
      <w:r>
        <w:t xml:space="preserve">. In this case </w:t>
      </w:r>
      <w:r w:rsidR="00230236">
        <w:t>gNB</w:t>
      </w:r>
      <w:r>
        <w:t xml:space="preserve"> sends a RAR including a grant for Message 3 and UE retransmits Message 3.</w:t>
      </w:r>
      <w:bookmarkEnd w:id="105"/>
      <w:bookmarkEnd w:id="106"/>
      <w:bookmarkEnd w:id="107"/>
      <w:bookmarkEnd w:id="108"/>
      <w:bookmarkEnd w:id="109"/>
      <w:bookmarkEnd w:id="110"/>
      <w:bookmarkEnd w:id="111"/>
      <w:bookmarkEnd w:id="112"/>
      <w:bookmarkEnd w:id="113"/>
      <w:bookmarkEnd w:id="114"/>
      <w:bookmarkEnd w:id="115"/>
      <w:bookmarkEnd w:id="116"/>
    </w:p>
    <w:p w14:paraId="0A2BF329" w14:textId="0F70A656" w:rsidR="0091629A" w:rsidRDefault="0091629A" w:rsidP="0091629A">
      <w:pPr>
        <w:pStyle w:val="BodyText"/>
      </w:pPr>
      <w:r>
        <w:t>A text proposal capturing this discussion can be found in</w:t>
      </w:r>
      <w:r w:rsidR="00230236">
        <w:fldChar w:fldCharType="begin"/>
      </w:r>
      <w:r w:rsidR="00230236">
        <w:instrText xml:space="preserve"> REF _Ref471214896 \r \h </w:instrText>
      </w:r>
      <w:r w:rsidR="00230236">
        <w:fldChar w:fldCharType="separate"/>
      </w:r>
      <w:r w:rsidR="00BE4FA0">
        <w:t>[3]</w:t>
      </w:r>
      <w:r w:rsidR="00230236">
        <w:fldChar w:fldCharType="end"/>
      </w:r>
      <w:r>
        <w:t>.</w:t>
      </w:r>
    </w:p>
    <w:p w14:paraId="531C176D" w14:textId="77777777" w:rsidR="00C01F33" w:rsidRPr="00CE0424" w:rsidRDefault="00C01F33" w:rsidP="00CE0424">
      <w:pPr>
        <w:pStyle w:val="Heading1"/>
      </w:pPr>
      <w:r w:rsidRPr="00CE0424">
        <w:t>Conclusion</w:t>
      </w:r>
    </w:p>
    <w:p w14:paraId="77BB9EE4" w14:textId="535745BF" w:rsidR="000244F0" w:rsidRDefault="008E065E" w:rsidP="000E367B">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E4FA0">
        <w:t>2</w:t>
      </w:r>
      <w:r w:rsidRPr="00CE0424">
        <w:rPr>
          <w:highlight w:val="cyan"/>
        </w:rPr>
        <w:fldChar w:fldCharType="end"/>
      </w:r>
      <w:r w:rsidRPr="00CE0424">
        <w:t xml:space="preserve"> we </w:t>
      </w:r>
      <w:r>
        <w:t>made the following observations</w:t>
      </w:r>
      <w:r w:rsidRPr="00CE0424">
        <w:t>:</w:t>
      </w:r>
    </w:p>
    <w:p w14:paraId="3CF0E515" w14:textId="77777777" w:rsidR="001C7108" w:rsidRPr="001C7108" w:rsidRDefault="008E065E">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1C7108">
        <w:t>Observation 1</w:t>
      </w:r>
      <w:r w:rsidR="001C7108" w:rsidRPr="001C7108">
        <w:rPr>
          <w:rFonts w:asciiTheme="minorHAnsi" w:eastAsiaTheme="minorEastAsia" w:hAnsiTheme="minorHAnsi" w:cstheme="minorBidi"/>
          <w:b w:val="0"/>
          <w:sz w:val="22"/>
        </w:rPr>
        <w:tab/>
      </w:r>
      <w:r w:rsidR="001C7108">
        <w:t>In small cells or for stationary UEs, Random Access may not be needed to obtain UL time alignment.</w:t>
      </w:r>
    </w:p>
    <w:p w14:paraId="00913A83" w14:textId="77777777" w:rsidR="001C7108" w:rsidRPr="001C7108" w:rsidRDefault="001C7108">
      <w:pPr>
        <w:pStyle w:val="TOC1"/>
        <w:rPr>
          <w:rFonts w:asciiTheme="minorHAnsi" w:eastAsiaTheme="minorEastAsia" w:hAnsiTheme="minorHAnsi" w:cstheme="minorBidi"/>
          <w:b w:val="0"/>
          <w:sz w:val="22"/>
        </w:rPr>
      </w:pPr>
      <w:r>
        <w:t>Observation 2</w:t>
      </w:r>
      <w:r w:rsidRPr="001C7108">
        <w:rPr>
          <w:rFonts w:asciiTheme="minorHAnsi" w:eastAsiaTheme="minorEastAsia" w:hAnsiTheme="minorHAnsi" w:cstheme="minorBidi"/>
          <w:b w:val="0"/>
          <w:sz w:val="22"/>
        </w:rPr>
        <w:tab/>
      </w:r>
      <w:r>
        <w:t>A two-step RA has the potential to be three times faster than the legacy four-step RA.</w:t>
      </w:r>
    </w:p>
    <w:p w14:paraId="5E7E6BEF" w14:textId="77777777" w:rsidR="001C7108" w:rsidRPr="001C7108" w:rsidRDefault="001C7108">
      <w:pPr>
        <w:pStyle w:val="TOC1"/>
        <w:rPr>
          <w:rFonts w:asciiTheme="minorHAnsi" w:eastAsiaTheme="minorEastAsia" w:hAnsiTheme="minorHAnsi" w:cstheme="minorBidi"/>
          <w:b w:val="0"/>
          <w:sz w:val="22"/>
        </w:rPr>
      </w:pPr>
      <w:r>
        <w:t>Observation 3</w:t>
      </w:r>
      <w:r w:rsidRPr="001C7108">
        <w:rPr>
          <w:rFonts w:asciiTheme="minorHAnsi" w:eastAsiaTheme="minorEastAsia" w:hAnsiTheme="minorHAnsi" w:cstheme="minorBidi"/>
          <w:b w:val="0"/>
          <w:sz w:val="22"/>
        </w:rPr>
        <w:tab/>
      </w:r>
      <w:r>
        <w:t>Reducing the allowed processing time between the RA messages would reduce the RA latency</w:t>
      </w:r>
    </w:p>
    <w:p w14:paraId="32FFA072" w14:textId="77777777" w:rsidR="001C7108" w:rsidRPr="001C7108" w:rsidRDefault="001C7108">
      <w:pPr>
        <w:pStyle w:val="TOC1"/>
        <w:rPr>
          <w:rFonts w:asciiTheme="minorHAnsi" w:eastAsiaTheme="minorEastAsia" w:hAnsiTheme="minorHAnsi" w:cstheme="minorBidi"/>
          <w:b w:val="0"/>
          <w:sz w:val="22"/>
        </w:rPr>
      </w:pPr>
      <w:r>
        <w:t>Observation 4</w:t>
      </w:r>
      <w:r w:rsidRPr="001C7108">
        <w:rPr>
          <w:rFonts w:asciiTheme="minorHAnsi" w:eastAsiaTheme="minorEastAsia" w:hAnsiTheme="minorHAnsi" w:cstheme="minorBidi"/>
          <w:b w:val="0"/>
          <w:sz w:val="22"/>
        </w:rPr>
        <w:tab/>
      </w:r>
      <w:r w:rsidRPr="00BF1F59">
        <w:rPr>
          <w:rFonts w:eastAsiaTheme="minorEastAsia" w:cs="Arial"/>
        </w:rPr>
        <w:t>Reducing the latency for four-step RA would reduce the need for the two-step RA in cases where short latency is desired</w:t>
      </w:r>
    </w:p>
    <w:p w14:paraId="13BAF495" w14:textId="77777777" w:rsidR="001C7108" w:rsidRPr="001C7108" w:rsidRDefault="001C7108">
      <w:pPr>
        <w:pStyle w:val="TOC1"/>
        <w:rPr>
          <w:rFonts w:asciiTheme="minorHAnsi" w:eastAsiaTheme="minorEastAsia" w:hAnsiTheme="minorHAnsi" w:cstheme="minorBidi"/>
          <w:b w:val="0"/>
          <w:sz w:val="22"/>
        </w:rPr>
      </w:pPr>
      <w:r>
        <w:t>Observation 5</w:t>
      </w:r>
      <w:r w:rsidRPr="001C7108">
        <w:rPr>
          <w:rFonts w:asciiTheme="minorHAnsi" w:eastAsiaTheme="minorEastAsia" w:hAnsiTheme="minorHAnsi" w:cstheme="minorBidi"/>
          <w:b w:val="0"/>
          <w:sz w:val="22"/>
        </w:rPr>
        <w:tab/>
      </w:r>
      <w:r>
        <w:t>Support for both four-step RA and two-step RA is beneficial in large cells.</w:t>
      </w:r>
    </w:p>
    <w:p w14:paraId="5AF259A2" w14:textId="2940FB2E" w:rsidR="008E065E" w:rsidRDefault="008E065E" w:rsidP="008E065E">
      <w:pPr>
        <w:pStyle w:val="BodyText"/>
        <w:rPr>
          <w:b/>
          <w:bCs/>
        </w:rPr>
      </w:pPr>
      <w:r>
        <w:rPr>
          <w:b/>
          <w:bCs/>
        </w:rPr>
        <w:fldChar w:fldCharType="end"/>
      </w:r>
    </w:p>
    <w:p w14:paraId="1E65723F" w14:textId="7BFF88CE" w:rsidR="000244F0" w:rsidRPr="00F645A9" w:rsidRDefault="008E065E">
      <w:pPr>
        <w:pStyle w:val="TOC1"/>
        <w:rPr>
          <w:b w:val="0"/>
        </w:rPr>
      </w:pPr>
      <w:r w:rsidRPr="00F645A9">
        <w:rPr>
          <w:b w:val="0"/>
        </w:rPr>
        <w:lastRenderedPageBreak/>
        <w:t xml:space="preserve">Based on the discussion in section </w:t>
      </w:r>
      <w:r w:rsidRPr="00F645A9">
        <w:rPr>
          <w:b w:val="0"/>
          <w:highlight w:val="cyan"/>
        </w:rPr>
        <w:fldChar w:fldCharType="begin"/>
      </w:r>
      <w:r w:rsidRPr="00F645A9">
        <w:rPr>
          <w:b w:val="0"/>
        </w:rPr>
        <w:instrText xml:space="preserve"> REF _Ref178064866 \r \h </w:instrText>
      </w:r>
      <w:r w:rsidR="00F645A9">
        <w:rPr>
          <w:b w:val="0"/>
          <w:highlight w:val="cyan"/>
        </w:rPr>
        <w:instrText xml:space="preserve"> \* MERGEFORMAT </w:instrText>
      </w:r>
      <w:r w:rsidRPr="00F645A9">
        <w:rPr>
          <w:b w:val="0"/>
          <w:highlight w:val="cyan"/>
        </w:rPr>
      </w:r>
      <w:r w:rsidRPr="00F645A9">
        <w:rPr>
          <w:b w:val="0"/>
          <w:highlight w:val="cyan"/>
        </w:rPr>
        <w:fldChar w:fldCharType="separate"/>
      </w:r>
      <w:r w:rsidR="00BE4FA0">
        <w:rPr>
          <w:b w:val="0"/>
        </w:rPr>
        <w:t>2</w:t>
      </w:r>
      <w:r w:rsidRPr="00F645A9">
        <w:rPr>
          <w:b w:val="0"/>
          <w:highlight w:val="cyan"/>
        </w:rPr>
        <w:fldChar w:fldCharType="end"/>
      </w:r>
      <w:r w:rsidRPr="00F645A9">
        <w:rPr>
          <w:b w:val="0"/>
        </w:rPr>
        <w:t xml:space="preserve"> we propose the following:</w:t>
      </w:r>
    </w:p>
    <w:p w14:paraId="640CE9C7" w14:textId="77777777" w:rsidR="001C7108" w:rsidRPr="001C7108" w:rsidRDefault="008E065E">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1C7108">
        <w:t>Proposal 1</w:t>
      </w:r>
      <w:r w:rsidR="001C7108" w:rsidRPr="001C7108">
        <w:rPr>
          <w:rFonts w:asciiTheme="minorHAnsi" w:eastAsiaTheme="minorEastAsia" w:hAnsiTheme="minorHAnsi" w:cstheme="minorBidi"/>
          <w:b w:val="0"/>
          <w:sz w:val="22"/>
        </w:rPr>
        <w:tab/>
      </w:r>
      <w:r w:rsidR="001C7108">
        <w:t>Allow a two-step RA as an alternative to four-step RA in cases where obtaining UL time alignment is not needed.</w:t>
      </w:r>
    </w:p>
    <w:p w14:paraId="5E716D87" w14:textId="77777777" w:rsidR="001C7108" w:rsidRPr="001C7108" w:rsidRDefault="001C7108">
      <w:pPr>
        <w:pStyle w:val="TOC1"/>
        <w:rPr>
          <w:rFonts w:asciiTheme="minorHAnsi" w:eastAsiaTheme="minorEastAsia" w:hAnsiTheme="minorHAnsi" w:cstheme="minorBidi"/>
          <w:b w:val="0"/>
          <w:sz w:val="22"/>
        </w:rPr>
      </w:pPr>
      <w:r>
        <w:t>Proposal 2</w:t>
      </w:r>
      <w:r w:rsidRPr="001C7108">
        <w:rPr>
          <w:rFonts w:asciiTheme="minorHAnsi" w:eastAsiaTheme="minorEastAsia" w:hAnsiTheme="minorHAnsi" w:cstheme="minorBidi"/>
          <w:b w:val="0"/>
          <w:sz w:val="22"/>
        </w:rPr>
        <w:tab/>
      </w:r>
      <w:r>
        <w:t>NR should support a configurable start of the RAR window where the minimum start time is 1 SF.</w:t>
      </w:r>
    </w:p>
    <w:p w14:paraId="4083C602" w14:textId="77777777" w:rsidR="001C7108" w:rsidRPr="001C7108" w:rsidRDefault="001C7108">
      <w:pPr>
        <w:pStyle w:val="TOC1"/>
        <w:rPr>
          <w:rFonts w:asciiTheme="minorHAnsi" w:eastAsiaTheme="minorEastAsia" w:hAnsiTheme="minorHAnsi" w:cstheme="minorBidi"/>
          <w:b w:val="0"/>
          <w:sz w:val="22"/>
        </w:rPr>
      </w:pPr>
      <w:r>
        <w:t>Proposal 3</w:t>
      </w:r>
      <w:r w:rsidRPr="001C7108">
        <w:rPr>
          <w:rFonts w:asciiTheme="minorHAnsi" w:eastAsiaTheme="minorEastAsia" w:hAnsiTheme="minorHAnsi" w:cstheme="minorBidi"/>
          <w:b w:val="0"/>
          <w:sz w:val="22"/>
        </w:rPr>
        <w:tab/>
      </w:r>
      <w:r>
        <w:t>NR should define a shorter response time for Message 3</w:t>
      </w:r>
    </w:p>
    <w:p w14:paraId="1A501F22" w14:textId="77777777" w:rsidR="001C7108" w:rsidRPr="001C7108" w:rsidRDefault="001C7108">
      <w:pPr>
        <w:pStyle w:val="TOC1"/>
        <w:rPr>
          <w:rFonts w:asciiTheme="minorHAnsi" w:eastAsiaTheme="minorEastAsia" w:hAnsiTheme="minorHAnsi" w:cstheme="minorBidi"/>
          <w:b w:val="0"/>
          <w:sz w:val="22"/>
        </w:rPr>
      </w:pPr>
      <w:r>
        <w:t>Proposal 4</w:t>
      </w:r>
      <w:r w:rsidRPr="001C7108">
        <w:rPr>
          <w:rFonts w:asciiTheme="minorHAnsi" w:eastAsiaTheme="minorEastAsia" w:hAnsiTheme="minorHAnsi" w:cstheme="minorBidi"/>
          <w:b w:val="0"/>
          <w:sz w:val="22"/>
        </w:rPr>
        <w:tab/>
      </w:r>
      <w:r>
        <w:t>NR should define a shorter response time for Message 4</w:t>
      </w:r>
    </w:p>
    <w:p w14:paraId="0EC71E1E" w14:textId="77777777" w:rsidR="001C7108" w:rsidRPr="001C7108" w:rsidRDefault="001C7108">
      <w:pPr>
        <w:pStyle w:val="TOC1"/>
        <w:rPr>
          <w:rFonts w:asciiTheme="minorHAnsi" w:eastAsiaTheme="minorEastAsia" w:hAnsiTheme="minorHAnsi" w:cstheme="minorBidi"/>
          <w:b w:val="0"/>
          <w:sz w:val="22"/>
        </w:rPr>
      </w:pPr>
      <w:r>
        <w:t>Proposal 5</w:t>
      </w:r>
      <w:r w:rsidRPr="001C7108">
        <w:rPr>
          <w:rFonts w:asciiTheme="minorHAnsi" w:eastAsiaTheme="minorEastAsia" w:hAnsiTheme="minorHAnsi" w:cstheme="minorBidi"/>
          <w:b w:val="0"/>
          <w:sz w:val="22"/>
        </w:rPr>
        <w:tab/>
      </w:r>
      <w:r>
        <w:t>Consider transmitting small UP data simultaneously with Msg3 in the two-step RA.</w:t>
      </w:r>
    </w:p>
    <w:p w14:paraId="07DB124F" w14:textId="77777777" w:rsidR="001C7108" w:rsidRPr="001C7108" w:rsidRDefault="001C7108">
      <w:pPr>
        <w:pStyle w:val="TOC1"/>
        <w:rPr>
          <w:rFonts w:asciiTheme="minorHAnsi" w:eastAsiaTheme="minorEastAsia" w:hAnsiTheme="minorHAnsi" w:cstheme="minorBidi"/>
          <w:b w:val="0"/>
          <w:sz w:val="22"/>
        </w:rPr>
      </w:pPr>
      <w:r>
        <w:t>Proposal 6</w:t>
      </w:r>
      <w:r w:rsidRPr="001C7108">
        <w:rPr>
          <w:rFonts w:asciiTheme="minorHAnsi" w:eastAsiaTheme="minorEastAsia" w:hAnsiTheme="minorHAnsi" w:cstheme="minorBidi"/>
          <w:b w:val="0"/>
          <w:sz w:val="22"/>
        </w:rPr>
        <w:tab/>
      </w:r>
      <w:r>
        <w:t>The Message 3 should be able to carry a data size indicator to allow the gNB to supply a grant after the contention resolution has been completed.</w:t>
      </w:r>
    </w:p>
    <w:p w14:paraId="7A5A1705" w14:textId="77777777" w:rsidR="001C7108" w:rsidRPr="001C7108" w:rsidRDefault="001C7108">
      <w:pPr>
        <w:pStyle w:val="TOC1"/>
        <w:rPr>
          <w:rFonts w:asciiTheme="minorHAnsi" w:eastAsiaTheme="minorEastAsia" w:hAnsiTheme="minorHAnsi" w:cstheme="minorBidi"/>
          <w:b w:val="0"/>
          <w:sz w:val="22"/>
        </w:rPr>
      </w:pPr>
      <w:r>
        <w:t>Proposal 7</w:t>
      </w:r>
      <w:r w:rsidRPr="001C7108">
        <w:rPr>
          <w:rFonts w:asciiTheme="minorHAnsi" w:eastAsiaTheme="minorEastAsia" w:hAnsiTheme="minorHAnsi" w:cstheme="minorBidi"/>
          <w:b w:val="0"/>
          <w:sz w:val="22"/>
        </w:rPr>
        <w:tab/>
      </w:r>
      <w:r>
        <w:t>The gNB configures when two-step RA is used.</w:t>
      </w:r>
    </w:p>
    <w:p w14:paraId="6D320F1A" w14:textId="77777777" w:rsidR="001C7108" w:rsidRPr="001C7108" w:rsidRDefault="001C7108">
      <w:pPr>
        <w:pStyle w:val="TOC1"/>
        <w:rPr>
          <w:rFonts w:asciiTheme="minorHAnsi" w:eastAsiaTheme="minorEastAsia" w:hAnsiTheme="minorHAnsi" w:cstheme="minorBidi"/>
          <w:b w:val="0"/>
          <w:sz w:val="22"/>
        </w:rPr>
      </w:pPr>
      <w:r>
        <w:t>Proposal 8</w:t>
      </w:r>
      <w:r w:rsidRPr="001C7108">
        <w:rPr>
          <w:rFonts w:asciiTheme="minorHAnsi" w:eastAsiaTheme="minorEastAsia" w:hAnsiTheme="minorHAnsi" w:cstheme="minorBidi"/>
          <w:b w:val="0"/>
          <w:sz w:val="22"/>
        </w:rPr>
        <w:tab/>
      </w:r>
      <w:r>
        <w:t>A fall-back to ordinary four-step RA is done in case Message 3 cannot be decoded by gNB. In this case gNB sends a RAR including a grant for Message 3 and UE retransmits Message 3.</w:t>
      </w:r>
    </w:p>
    <w:p w14:paraId="70A5E02B" w14:textId="44B4B83E" w:rsidR="00C01F33" w:rsidRPr="00CE0424" w:rsidRDefault="008E065E" w:rsidP="006E062C">
      <w:r>
        <w:rPr>
          <w:b/>
          <w:bCs/>
        </w:rPr>
        <w:fldChar w:fldCharType="end"/>
      </w:r>
    </w:p>
    <w:p w14:paraId="2695CF6D" w14:textId="77777777" w:rsidR="00F507D1" w:rsidRPr="00CE0424" w:rsidRDefault="00F507D1" w:rsidP="00CE0424">
      <w:pPr>
        <w:pStyle w:val="Heading1"/>
      </w:pPr>
      <w:bookmarkStart w:id="117" w:name="_In-sequence_SDU_delivery"/>
      <w:bookmarkEnd w:id="117"/>
      <w:r w:rsidRPr="00CE0424">
        <w:t>References</w:t>
      </w:r>
    </w:p>
    <w:p w14:paraId="05468049" w14:textId="07C457E9" w:rsidR="00230236" w:rsidRPr="00D97E38" w:rsidRDefault="00230236" w:rsidP="00260C43">
      <w:pPr>
        <w:pStyle w:val="Reference"/>
      </w:pPr>
      <w:bookmarkStart w:id="118" w:name="_Ref471214982"/>
      <w:r w:rsidRPr="00D97E38">
        <w:t>R1-170</w:t>
      </w:r>
      <w:r w:rsidR="00D97E38" w:rsidRPr="00D97E38">
        <w:t>0300</w:t>
      </w:r>
      <w:r w:rsidRPr="00D97E38">
        <w:t>, “NR two-step RA procedure”, Ericsson, RAN1#87ah, Spokane, USA, 16</w:t>
      </w:r>
      <w:r w:rsidRPr="00D97E38">
        <w:rPr>
          <w:vertAlign w:val="superscript"/>
        </w:rPr>
        <w:t>th</w:t>
      </w:r>
      <w:r w:rsidR="0010022E" w:rsidRPr="00D97E38">
        <w:t xml:space="preserve"> </w:t>
      </w:r>
      <w:r w:rsidRPr="00D97E38">
        <w:t>- 20</w:t>
      </w:r>
      <w:r w:rsidRPr="00D97E38">
        <w:rPr>
          <w:vertAlign w:val="superscript"/>
        </w:rPr>
        <w:t>th</w:t>
      </w:r>
      <w:r w:rsidR="0010022E" w:rsidRPr="00D97E38">
        <w:t xml:space="preserve"> </w:t>
      </w:r>
      <w:r w:rsidRPr="00D97E38">
        <w:t>January 2017</w:t>
      </w:r>
      <w:bookmarkEnd w:id="118"/>
    </w:p>
    <w:p w14:paraId="4E210975" w14:textId="77777777" w:rsidR="00230236" w:rsidRDefault="00230236" w:rsidP="00230236">
      <w:pPr>
        <w:pStyle w:val="Reference"/>
      </w:pPr>
      <w:bookmarkStart w:id="119" w:name="_Ref471214968"/>
      <w:r w:rsidRPr="000E367B">
        <w:t>R2-166922</w:t>
      </w:r>
      <w:r w:rsidRPr="00CE0424">
        <w:t xml:space="preserve">, </w:t>
      </w:r>
      <w:r>
        <w:t>"</w:t>
      </w:r>
      <w:r w:rsidRPr="00260C43">
        <w:t>Small data transmission for inactive U</w:t>
      </w:r>
      <w:r>
        <w:t>E</w:t>
      </w:r>
      <w:r w:rsidRPr="00260C43">
        <w:t>s</w:t>
      </w:r>
      <w:r>
        <w:t>"</w:t>
      </w:r>
      <w:r w:rsidRPr="00CE0424">
        <w:t xml:space="preserve">, </w:t>
      </w:r>
      <w:r>
        <w:t>Ericsson</w:t>
      </w:r>
      <w:r w:rsidRPr="00CE0424">
        <w:t xml:space="preserve">, </w:t>
      </w:r>
      <w:r>
        <w:t>RAN2#95bis</w:t>
      </w:r>
      <w:r w:rsidRPr="00CE0424">
        <w:t xml:space="preserve">, </w:t>
      </w:r>
      <w:r>
        <w:t>Kaohsiung, Taiwan, 10</w:t>
      </w:r>
      <w:r w:rsidRPr="00D04BD0">
        <w:rPr>
          <w:vertAlign w:val="superscript"/>
        </w:rPr>
        <w:t>th</w:t>
      </w:r>
      <w:r>
        <w:t xml:space="preserve"> – 14</w:t>
      </w:r>
      <w:r w:rsidRPr="00D04BD0">
        <w:rPr>
          <w:vertAlign w:val="superscript"/>
        </w:rPr>
        <w:t>th</w:t>
      </w:r>
      <w:r>
        <w:t xml:space="preserve"> October 2016</w:t>
      </w:r>
      <w:bookmarkEnd w:id="119"/>
    </w:p>
    <w:p w14:paraId="2001B5EA" w14:textId="28C2BB00" w:rsidR="0091629A" w:rsidRPr="00CE0424" w:rsidRDefault="0091629A" w:rsidP="0091629A">
      <w:pPr>
        <w:pStyle w:val="Reference"/>
      </w:pPr>
      <w:bookmarkStart w:id="120" w:name="_Ref471214896"/>
      <w:r w:rsidRPr="00871DD0">
        <w:t>R2-</w:t>
      </w:r>
      <w:r w:rsidR="00871DD0" w:rsidRPr="00871DD0">
        <w:t>1700</w:t>
      </w:r>
      <w:r w:rsidR="00871DD0">
        <w:t>416</w:t>
      </w:r>
      <w:r>
        <w:t>, "</w:t>
      </w:r>
      <w:r w:rsidRPr="0091629A">
        <w:t>Text Proposal to TR 38.804 on Random Access Procedure</w:t>
      </w:r>
      <w:r>
        <w:t xml:space="preserve">", Ericsson, </w:t>
      </w:r>
      <w:r w:rsidR="00A8000D">
        <w:t>RAN2 ad hoc, Spokane, 17</w:t>
      </w:r>
      <w:r w:rsidR="00A8000D" w:rsidRPr="00A8000D">
        <w:rPr>
          <w:vertAlign w:val="superscript"/>
        </w:rPr>
        <w:t>th</w:t>
      </w:r>
      <w:r w:rsidR="00A8000D">
        <w:t xml:space="preserve"> – 19</w:t>
      </w:r>
      <w:r w:rsidR="00A8000D" w:rsidRPr="00A8000D">
        <w:rPr>
          <w:vertAlign w:val="superscript"/>
        </w:rPr>
        <w:t>th</w:t>
      </w:r>
      <w:r w:rsidR="00A8000D">
        <w:t xml:space="preserve"> January</w:t>
      </w:r>
      <w:r>
        <w:t xml:space="preserve"> 201</w:t>
      </w:r>
      <w:bookmarkEnd w:id="120"/>
      <w:r w:rsidR="00A8000D">
        <w:t>7</w:t>
      </w:r>
    </w:p>
    <w:sectPr w:rsidR="0091629A"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95F8B" w14:textId="77777777" w:rsidR="0010022E" w:rsidRDefault="0010022E">
      <w:r>
        <w:separator/>
      </w:r>
    </w:p>
  </w:endnote>
  <w:endnote w:type="continuationSeparator" w:id="0">
    <w:p w14:paraId="2CC028C5" w14:textId="77777777" w:rsidR="0010022E" w:rsidRDefault="0010022E">
      <w:r>
        <w:continuationSeparator/>
      </w:r>
    </w:p>
  </w:endnote>
  <w:endnote w:type="continuationNotice" w:id="1">
    <w:p w14:paraId="61FF3E64" w14:textId="77777777" w:rsidR="0010022E" w:rsidRDefault="00100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7AC03" w14:textId="1A54DD47" w:rsidR="0010022E" w:rsidRDefault="001002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1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10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76C46" w14:textId="77777777" w:rsidR="0010022E" w:rsidRDefault="0010022E">
      <w:r>
        <w:separator/>
      </w:r>
    </w:p>
  </w:footnote>
  <w:footnote w:type="continuationSeparator" w:id="0">
    <w:p w14:paraId="73E593EE" w14:textId="77777777" w:rsidR="0010022E" w:rsidRDefault="0010022E">
      <w:r>
        <w:continuationSeparator/>
      </w:r>
    </w:p>
  </w:footnote>
  <w:footnote w:type="continuationNotice" w:id="1">
    <w:p w14:paraId="0F9EB75D" w14:textId="77777777" w:rsidR="0010022E" w:rsidRDefault="00100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308C7" w14:textId="77777777" w:rsidR="0010022E" w:rsidRDefault="001002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6E58"/>
    <w:rsid w:val="00007CDC"/>
    <w:rsid w:val="00011B28"/>
    <w:rsid w:val="00015D15"/>
    <w:rsid w:val="000244F0"/>
    <w:rsid w:val="0002564D"/>
    <w:rsid w:val="00025ECA"/>
    <w:rsid w:val="00027939"/>
    <w:rsid w:val="000325B8"/>
    <w:rsid w:val="00034C15"/>
    <w:rsid w:val="00036BA1"/>
    <w:rsid w:val="000409E0"/>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F9F"/>
    <w:rsid w:val="000A56F2"/>
    <w:rsid w:val="000A706B"/>
    <w:rsid w:val="000B2719"/>
    <w:rsid w:val="000B3A8F"/>
    <w:rsid w:val="000B4AB9"/>
    <w:rsid w:val="000B58C3"/>
    <w:rsid w:val="000B61E9"/>
    <w:rsid w:val="000B7D2C"/>
    <w:rsid w:val="000C165A"/>
    <w:rsid w:val="000C2E19"/>
    <w:rsid w:val="000C7D61"/>
    <w:rsid w:val="000D0D07"/>
    <w:rsid w:val="000D4797"/>
    <w:rsid w:val="000E0527"/>
    <w:rsid w:val="000E1E92"/>
    <w:rsid w:val="000E367B"/>
    <w:rsid w:val="000F06D6"/>
    <w:rsid w:val="000F0EB1"/>
    <w:rsid w:val="000F1106"/>
    <w:rsid w:val="000F3BE9"/>
    <w:rsid w:val="000F3F6C"/>
    <w:rsid w:val="000F6DF3"/>
    <w:rsid w:val="0010022E"/>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21B"/>
    <w:rsid w:val="00137AB5"/>
    <w:rsid w:val="00137F0B"/>
    <w:rsid w:val="001452C4"/>
    <w:rsid w:val="00146A23"/>
    <w:rsid w:val="00151E23"/>
    <w:rsid w:val="001526E0"/>
    <w:rsid w:val="001551B5"/>
    <w:rsid w:val="00163B29"/>
    <w:rsid w:val="001643A8"/>
    <w:rsid w:val="001659C1"/>
    <w:rsid w:val="00173A8E"/>
    <w:rsid w:val="00177795"/>
    <w:rsid w:val="0018143F"/>
    <w:rsid w:val="001826A9"/>
    <w:rsid w:val="00190AC1"/>
    <w:rsid w:val="00193249"/>
    <w:rsid w:val="0019341A"/>
    <w:rsid w:val="00197DF9"/>
    <w:rsid w:val="001A1025"/>
    <w:rsid w:val="001A1987"/>
    <w:rsid w:val="001A2564"/>
    <w:rsid w:val="001A4B60"/>
    <w:rsid w:val="001A6173"/>
    <w:rsid w:val="001A6CBA"/>
    <w:rsid w:val="001B0D97"/>
    <w:rsid w:val="001B2A79"/>
    <w:rsid w:val="001B5A5D"/>
    <w:rsid w:val="001C1CE5"/>
    <w:rsid w:val="001C3D2A"/>
    <w:rsid w:val="001C6495"/>
    <w:rsid w:val="001C7108"/>
    <w:rsid w:val="001D51BA"/>
    <w:rsid w:val="001D6342"/>
    <w:rsid w:val="001D6D53"/>
    <w:rsid w:val="001E58E2"/>
    <w:rsid w:val="001E6F59"/>
    <w:rsid w:val="001E7AED"/>
    <w:rsid w:val="001F2A61"/>
    <w:rsid w:val="001F3916"/>
    <w:rsid w:val="001F54C5"/>
    <w:rsid w:val="001F662C"/>
    <w:rsid w:val="001F7074"/>
    <w:rsid w:val="00200490"/>
    <w:rsid w:val="00201F3A"/>
    <w:rsid w:val="00203F96"/>
    <w:rsid w:val="002069B2"/>
    <w:rsid w:val="00207FA3"/>
    <w:rsid w:val="00212176"/>
    <w:rsid w:val="00214DA8"/>
    <w:rsid w:val="00215423"/>
    <w:rsid w:val="002158FA"/>
    <w:rsid w:val="00220600"/>
    <w:rsid w:val="002224DB"/>
    <w:rsid w:val="00223FCB"/>
    <w:rsid w:val="00224EA5"/>
    <w:rsid w:val="002252C3"/>
    <w:rsid w:val="00225C54"/>
    <w:rsid w:val="00230236"/>
    <w:rsid w:val="00230765"/>
    <w:rsid w:val="002319E4"/>
    <w:rsid w:val="00235632"/>
    <w:rsid w:val="00235872"/>
    <w:rsid w:val="00241559"/>
    <w:rsid w:val="002435B3"/>
    <w:rsid w:val="002458EB"/>
    <w:rsid w:val="002500C8"/>
    <w:rsid w:val="00257543"/>
    <w:rsid w:val="00260C43"/>
    <w:rsid w:val="002617E7"/>
    <w:rsid w:val="00261FC8"/>
    <w:rsid w:val="00264228"/>
    <w:rsid w:val="00264334"/>
    <w:rsid w:val="0026473E"/>
    <w:rsid w:val="00266214"/>
    <w:rsid w:val="00267C83"/>
    <w:rsid w:val="0027144F"/>
    <w:rsid w:val="00271F3A"/>
    <w:rsid w:val="00273278"/>
    <w:rsid w:val="002737F4"/>
    <w:rsid w:val="0027716C"/>
    <w:rsid w:val="002805F5"/>
    <w:rsid w:val="00280751"/>
    <w:rsid w:val="00280EDD"/>
    <w:rsid w:val="0028280A"/>
    <w:rsid w:val="00284264"/>
    <w:rsid w:val="00286ACD"/>
    <w:rsid w:val="00287838"/>
    <w:rsid w:val="002907B5"/>
    <w:rsid w:val="0029205C"/>
    <w:rsid w:val="00292EB7"/>
    <w:rsid w:val="00296227"/>
    <w:rsid w:val="00296F44"/>
    <w:rsid w:val="0029777D"/>
    <w:rsid w:val="002A055E"/>
    <w:rsid w:val="002A1D4E"/>
    <w:rsid w:val="002A2869"/>
    <w:rsid w:val="002B24D6"/>
    <w:rsid w:val="002C41E6"/>
    <w:rsid w:val="002D071A"/>
    <w:rsid w:val="002D2756"/>
    <w:rsid w:val="002D34B2"/>
    <w:rsid w:val="002D7637"/>
    <w:rsid w:val="002D7A98"/>
    <w:rsid w:val="002E17F2"/>
    <w:rsid w:val="002E2013"/>
    <w:rsid w:val="002E7CAE"/>
    <w:rsid w:val="002F2771"/>
    <w:rsid w:val="002F37A9"/>
    <w:rsid w:val="00301CE6"/>
    <w:rsid w:val="0030256B"/>
    <w:rsid w:val="0030501F"/>
    <w:rsid w:val="00307BA1"/>
    <w:rsid w:val="00311702"/>
    <w:rsid w:val="00311E82"/>
    <w:rsid w:val="00313FD6"/>
    <w:rsid w:val="003143BD"/>
    <w:rsid w:val="003203ED"/>
    <w:rsid w:val="00321220"/>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5502"/>
    <w:rsid w:val="00366D65"/>
    <w:rsid w:val="00370E47"/>
    <w:rsid w:val="003742AC"/>
    <w:rsid w:val="00377CCB"/>
    <w:rsid w:val="00377CE1"/>
    <w:rsid w:val="00385BF0"/>
    <w:rsid w:val="00385F0B"/>
    <w:rsid w:val="0039385C"/>
    <w:rsid w:val="003939FF"/>
    <w:rsid w:val="00394BA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C6"/>
    <w:rsid w:val="003D3C45"/>
    <w:rsid w:val="003D5B1F"/>
    <w:rsid w:val="003E15FA"/>
    <w:rsid w:val="003E55E4"/>
    <w:rsid w:val="003E74E3"/>
    <w:rsid w:val="003F05C7"/>
    <w:rsid w:val="003F2CD4"/>
    <w:rsid w:val="003F6BBE"/>
    <w:rsid w:val="004000E8"/>
    <w:rsid w:val="00402E2B"/>
    <w:rsid w:val="0040512B"/>
    <w:rsid w:val="00405CA5"/>
    <w:rsid w:val="00407AC6"/>
    <w:rsid w:val="00407CD3"/>
    <w:rsid w:val="00410134"/>
    <w:rsid w:val="00410B72"/>
    <w:rsid w:val="00410F18"/>
    <w:rsid w:val="0041263E"/>
    <w:rsid w:val="00413AAC"/>
    <w:rsid w:val="004168D8"/>
    <w:rsid w:val="004209DA"/>
    <w:rsid w:val="00421105"/>
    <w:rsid w:val="004242F4"/>
    <w:rsid w:val="00427248"/>
    <w:rsid w:val="00437447"/>
    <w:rsid w:val="00441A92"/>
    <w:rsid w:val="00444F56"/>
    <w:rsid w:val="00446488"/>
    <w:rsid w:val="004517AA"/>
    <w:rsid w:val="00452CAC"/>
    <w:rsid w:val="00457565"/>
    <w:rsid w:val="00457B71"/>
    <w:rsid w:val="00460518"/>
    <w:rsid w:val="00461A57"/>
    <w:rsid w:val="00465F3A"/>
    <w:rsid w:val="004669E2"/>
    <w:rsid w:val="004704BF"/>
    <w:rsid w:val="00470C31"/>
    <w:rsid w:val="004734D0"/>
    <w:rsid w:val="0047556B"/>
    <w:rsid w:val="00477768"/>
    <w:rsid w:val="004824AE"/>
    <w:rsid w:val="00492BC5"/>
    <w:rsid w:val="00495E37"/>
    <w:rsid w:val="004964F1"/>
    <w:rsid w:val="004A16BC"/>
    <w:rsid w:val="004A2B94"/>
    <w:rsid w:val="004B4BE0"/>
    <w:rsid w:val="004B7C0C"/>
    <w:rsid w:val="004C3898"/>
    <w:rsid w:val="004D0D62"/>
    <w:rsid w:val="004D36B1"/>
    <w:rsid w:val="004D7EBD"/>
    <w:rsid w:val="004E2680"/>
    <w:rsid w:val="004E28F9"/>
    <w:rsid w:val="004E462E"/>
    <w:rsid w:val="004E56DC"/>
    <w:rsid w:val="004E76F4"/>
    <w:rsid w:val="004F0B4E"/>
    <w:rsid w:val="004F0B6C"/>
    <w:rsid w:val="004F2078"/>
    <w:rsid w:val="004F3940"/>
    <w:rsid w:val="004F4DA3"/>
    <w:rsid w:val="004F5BAC"/>
    <w:rsid w:val="00506557"/>
    <w:rsid w:val="0050677A"/>
    <w:rsid w:val="005072ED"/>
    <w:rsid w:val="00507AE3"/>
    <w:rsid w:val="005108D8"/>
    <w:rsid w:val="005116F9"/>
    <w:rsid w:val="005153A7"/>
    <w:rsid w:val="005219CF"/>
    <w:rsid w:val="005338D0"/>
    <w:rsid w:val="00534B59"/>
    <w:rsid w:val="005365C5"/>
    <w:rsid w:val="00536759"/>
    <w:rsid w:val="00537C62"/>
    <w:rsid w:val="00546970"/>
    <w:rsid w:val="00554E19"/>
    <w:rsid w:val="0056121F"/>
    <w:rsid w:val="00572505"/>
    <w:rsid w:val="00582809"/>
    <w:rsid w:val="0058798C"/>
    <w:rsid w:val="005900FA"/>
    <w:rsid w:val="005935A4"/>
    <w:rsid w:val="00594354"/>
    <w:rsid w:val="005948C2"/>
    <w:rsid w:val="00595DCA"/>
    <w:rsid w:val="0059779B"/>
    <w:rsid w:val="005A0C34"/>
    <w:rsid w:val="005A1557"/>
    <w:rsid w:val="005A209A"/>
    <w:rsid w:val="005A5B6F"/>
    <w:rsid w:val="005A662D"/>
    <w:rsid w:val="005B35D7"/>
    <w:rsid w:val="005B392A"/>
    <w:rsid w:val="005B3AA3"/>
    <w:rsid w:val="005B66F5"/>
    <w:rsid w:val="005B6F83"/>
    <w:rsid w:val="005C0F3B"/>
    <w:rsid w:val="005C74FB"/>
    <w:rsid w:val="005D1602"/>
    <w:rsid w:val="005E385F"/>
    <w:rsid w:val="005E5B81"/>
    <w:rsid w:val="005F2CB1"/>
    <w:rsid w:val="005F3025"/>
    <w:rsid w:val="005F3E9F"/>
    <w:rsid w:val="005F4D03"/>
    <w:rsid w:val="005F618C"/>
    <w:rsid w:val="005F70BD"/>
    <w:rsid w:val="0060283C"/>
    <w:rsid w:val="00604F14"/>
    <w:rsid w:val="00605F62"/>
    <w:rsid w:val="00605F6D"/>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B90"/>
    <w:rsid w:val="00650AB9"/>
    <w:rsid w:val="00655733"/>
    <w:rsid w:val="00655ACD"/>
    <w:rsid w:val="00656A92"/>
    <w:rsid w:val="00656DDE"/>
    <w:rsid w:val="0066011D"/>
    <w:rsid w:val="0066055D"/>
    <w:rsid w:val="006607C0"/>
    <w:rsid w:val="006613A6"/>
    <w:rsid w:val="00662611"/>
    <w:rsid w:val="006627A2"/>
    <w:rsid w:val="006634E6"/>
    <w:rsid w:val="00663507"/>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0E4"/>
    <w:rsid w:val="006C03B8"/>
    <w:rsid w:val="006C370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34D"/>
    <w:rsid w:val="0070046E"/>
    <w:rsid w:val="0070346E"/>
    <w:rsid w:val="00704EDB"/>
    <w:rsid w:val="0070537F"/>
    <w:rsid w:val="00706101"/>
    <w:rsid w:val="00707072"/>
    <w:rsid w:val="00707D61"/>
    <w:rsid w:val="00712287"/>
    <w:rsid w:val="00712772"/>
    <w:rsid w:val="007148D3"/>
    <w:rsid w:val="00715B9A"/>
    <w:rsid w:val="00721593"/>
    <w:rsid w:val="007240F3"/>
    <w:rsid w:val="007264CD"/>
    <w:rsid w:val="00726EA6"/>
    <w:rsid w:val="00727208"/>
    <w:rsid w:val="00727680"/>
    <w:rsid w:val="007348B1"/>
    <w:rsid w:val="00734B23"/>
    <w:rsid w:val="007362A6"/>
    <w:rsid w:val="00736D7D"/>
    <w:rsid w:val="00740E58"/>
    <w:rsid w:val="007443CF"/>
    <w:rsid w:val="007445A0"/>
    <w:rsid w:val="0074524B"/>
    <w:rsid w:val="00747D8B"/>
    <w:rsid w:val="00751228"/>
    <w:rsid w:val="007571E1"/>
    <w:rsid w:val="007604B2"/>
    <w:rsid w:val="0076202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A6B"/>
    <w:rsid w:val="007C05DD"/>
    <w:rsid w:val="007C1870"/>
    <w:rsid w:val="007C3D18"/>
    <w:rsid w:val="007C60BF"/>
    <w:rsid w:val="007C6A07"/>
    <w:rsid w:val="007C75A1"/>
    <w:rsid w:val="007C77A5"/>
    <w:rsid w:val="007D04E5"/>
    <w:rsid w:val="007D4009"/>
    <w:rsid w:val="007D5901"/>
    <w:rsid w:val="007D7526"/>
    <w:rsid w:val="007D7D02"/>
    <w:rsid w:val="007E4610"/>
    <w:rsid w:val="007E4715"/>
    <w:rsid w:val="007E505B"/>
    <w:rsid w:val="007E7091"/>
    <w:rsid w:val="007F02E0"/>
    <w:rsid w:val="00801BF4"/>
    <w:rsid w:val="008036A1"/>
    <w:rsid w:val="00803FAE"/>
    <w:rsid w:val="0080605F"/>
    <w:rsid w:val="00807786"/>
    <w:rsid w:val="00811FCB"/>
    <w:rsid w:val="008158D6"/>
    <w:rsid w:val="00817196"/>
    <w:rsid w:val="00817EDE"/>
    <w:rsid w:val="00821944"/>
    <w:rsid w:val="008235DB"/>
    <w:rsid w:val="00824AB4"/>
    <w:rsid w:val="00825C42"/>
    <w:rsid w:val="00825D25"/>
    <w:rsid w:val="00827D6F"/>
    <w:rsid w:val="008376AC"/>
    <w:rsid w:val="008444E8"/>
    <w:rsid w:val="00844E80"/>
    <w:rsid w:val="008454FA"/>
    <w:rsid w:val="00846FE7"/>
    <w:rsid w:val="00850CEC"/>
    <w:rsid w:val="00856911"/>
    <w:rsid w:val="008677FD"/>
    <w:rsid w:val="008706D4"/>
    <w:rsid w:val="00870F8A"/>
    <w:rsid w:val="008719A4"/>
    <w:rsid w:val="00871D23"/>
    <w:rsid w:val="00871DD0"/>
    <w:rsid w:val="00874312"/>
    <w:rsid w:val="0087437C"/>
    <w:rsid w:val="008745CA"/>
    <w:rsid w:val="00875CD7"/>
    <w:rsid w:val="00876B4D"/>
    <w:rsid w:val="00877F18"/>
    <w:rsid w:val="00893F8E"/>
    <w:rsid w:val="00894A88"/>
    <w:rsid w:val="00895386"/>
    <w:rsid w:val="008A21FF"/>
    <w:rsid w:val="008A2CE2"/>
    <w:rsid w:val="008A30AC"/>
    <w:rsid w:val="008A44B8"/>
    <w:rsid w:val="008A51A8"/>
    <w:rsid w:val="008A54C7"/>
    <w:rsid w:val="008A77D8"/>
    <w:rsid w:val="008B0483"/>
    <w:rsid w:val="008B120C"/>
    <w:rsid w:val="008B4A98"/>
    <w:rsid w:val="008B51A0"/>
    <w:rsid w:val="008B592A"/>
    <w:rsid w:val="008B7B5C"/>
    <w:rsid w:val="008C0C99"/>
    <w:rsid w:val="008C2017"/>
    <w:rsid w:val="008C4958"/>
    <w:rsid w:val="008C4BAA"/>
    <w:rsid w:val="008C6AE8"/>
    <w:rsid w:val="008C7573"/>
    <w:rsid w:val="008D34F1"/>
    <w:rsid w:val="008D39D8"/>
    <w:rsid w:val="008D6D1A"/>
    <w:rsid w:val="008E0199"/>
    <w:rsid w:val="008E065E"/>
    <w:rsid w:val="008E0927"/>
    <w:rsid w:val="008E1909"/>
    <w:rsid w:val="008F1EAB"/>
    <w:rsid w:val="008F33DC"/>
    <w:rsid w:val="008F4475"/>
    <w:rsid w:val="008F477F"/>
    <w:rsid w:val="009020F5"/>
    <w:rsid w:val="00902350"/>
    <w:rsid w:val="0090336B"/>
    <w:rsid w:val="009053AA"/>
    <w:rsid w:val="00906939"/>
    <w:rsid w:val="00910B7D"/>
    <w:rsid w:val="00911DFB"/>
    <w:rsid w:val="009139D9"/>
    <w:rsid w:val="00914AD8"/>
    <w:rsid w:val="009153DF"/>
    <w:rsid w:val="00916079"/>
    <w:rsid w:val="0091629A"/>
    <w:rsid w:val="00917CE9"/>
    <w:rsid w:val="00920BF2"/>
    <w:rsid w:val="00922010"/>
    <w:rsid w:val="00926AC8"/>
    <w:rsid w:val="00926B3B"/>
    <w:rsid w:val="00931BD9"/>
    <w:rsid w:val="00933613"/>
    <w:rsid w:val="009368F3"/>
    <w:rsid w:val="00941636"/>
    <w:rsid w:val="009417B6"/>
    <w:rsid w:val="00943742"/>
    <w:rsid w:val="00945C05"/>
    <w:rsid w:val="00946945"/>
    <w:rsid w:val="00947713"/>
    <w:rsid w:val="00950DE7"/>
    <w:rsid w:val="00952FC7"/>
    <w:rsid w:val="00953920"/>
    <w:rsid w:val="00953D47"/>
    <w:rsid w:val="0095681E"/>
    <w:rsid w:val="009572D4"/>
    <w:rsid w:val="00960D3A"/>
    <w:rsid w:val="00961921"/>
    <w:rsid w:val="0096430A"/>
    <w:rsid w:val="0096554B"/>
    <w:rsid w:val="0096584A"/>
    <w:rsid w:val="00971F08"/>
    <w:rsid w:val="00974EA1"/>
    <w:rsid w:val="0097603D"/>
    <w:rsid w:val="00976949"/>
    <w:rsid w:val="00980477"/>
    <w:rsid w:val="009828F3"/>
    <w:rsid w:val="009839BF"/>
    <w:rsid w:val="00983ECC"/>
    <w:rsid w:val="00985253"/>
    <w:rsid w:val="009853B3"/>
    <w:rsid w:val="00990630"/>
    <w:rsid w:val="00991761"/>
    <w:rsid w:val="00994DCA"/>
    <w:rsid w:val="009960EC"/>
    <w:rsid w:val="009970DD"/>
    <w:rsid w:val="009A0FBA"/>
    <w:rsid w:val="009A1601"/>
    <w:rsid w:val="009A462D"/>
    <w:rsid w:val="009A5CBA"/>
    <w:rsid w:val="009B0CB5"/>
    <w:rsid w:val="009B1F30"/>
    <w:rsid w:val="009B3AC2"/>
    <w:rsid w:val="009B4DF4"/>
    <w:rsid w:val="009B564E"/>
    <w:rsid w:val="009B7A38"/>
    <w:rsid w:val="009B7E87"/>
    <w:rsid w:val="009C403E"/>
    <w:rsid w:val="009D00CA"/>
    <w:rsid w:val="009D1A3B"/>
    <w:rsid w:val="009D4FF0"/>
    <w:rsid w:val="009D5A94"/>
    <w:rsid w:val="009D703C"/>
    <w:rsid w:val="009D718F"/>
    <w:rsid w:val="009D7446"/>
    <w:rsid w:val="009E068F"/>
    <w:rsid w:val="009E14E0"/>
    <w:rsid w:val="009E35DB"/>
    <w:rsid w:val="009E47A3"/>
    <w:rsid w:val="009F08F3"/>
    <w:rsid w:val="009F344F"/>
    <w:rsid w:val="00A048A8"/>
    <w:rsid w:val="00A04F49"/>
    <w:rsid w:val="00A13E54"/>
    <w:rsid w:val="00A17F63"/>
    <w:rsid w:val="00A2193B"/>
    <w:rsid w:val="00A2351A"/>
    <w:rsid w:val="00A25B6F"/>
    <w:rsid w:val="00A264A9"/>
    <w:rsid w:val="00A27785"/>
    <w:rsid w:val="00A30187"/>
    <w:rsid w:val="00A33E2A"/>
    <w:rsid w:val="00A3448A"/>
    <w:rsid w:val="00A36297"/>
    <w:rsid w:val="00A41E2B"/>
    <w:rsid w:val="00A45B74"/>
    <w:rsid w:val="00A4726D"/>
    <w:rsid w:val="00A52E1D"/>
    <w:rsid w:val="00A57A41"/>
    <w:rsid w:val="00A61499"/>
    <w:rsid w:val="00A62A77"/>
    <w:rsid w:val="00A63483"/>
    <w:rsid w:val="00A641A6"/>
    <w:rsid w:val="00A657D7"/>
    <w:rsid w:val="00A659E8"/>
    <w:rsid w:val="00A660AC"/>
    <w:rsid w:val="00A67E6C"/>
    <w:rsid w:val="00A71B99"/>
    <w:rsid w:val="00A739D0"/>
    <w:rsid w:val="00A761D4"/>
    <w:rsid w:val="00A77EC4"/>
    <w:rsid w:val="00A8000D"/>
    <w:rsid w:val="00A85262"/>
    <w:rsid w:val="00A92879"/>
    <w:rsid w:val="00A9442A"/>
    <w:rsid w:val="00A95604"/>
    <w:rsid w:val="00AA016F"/>
    <w:rsid w:val="00AA1ED6"/>
    <w:rsid w:val="00AA51D6"/>
    <w:rsid w:val="00AB0BC8"/>
    <w:rsid w:val="00AB11CA"/>
    <w:rsid w:val="00AB14D9"/>
    <w:rsid w:val="00AB3C7B"/>
    <w:rsid w:val="00AB4AB8"/>
    <w:rsid w:val="00AB568B"/>
    <w:rsid w:val="00AB5F1F"/>
    <w:rsid w:val="00AB655E"/>
    <w:rsid w:val="00AC007F"/>
    <w:rsid w:val="00AC2ECD"/>
    <w:rsid w:val="00AC3119"/>
    <w:rsid w:val="00AC49FB"/>
    <w:rsid w:val="00AC5A10"/>
    <w:rsid w:val="00AD0AA3"/>
    <w:rsid w:val="00AD3C95"/>
    <w:rsid w:val="00AD3F94"/>
    <w:rsid w:val="00AD4A5A"/>
    <w:rsid w:val="00AE27AC"/>
    <w:rsid w:val="00AE40E0"/>
    <w:rsid w:val="00AE4DBA"/>
    <w:rsid w:val="00AE4F07"/>
    <w:rsid w:val="00AF1C5D"/>
    <w:rsid w:val="00AF42D7"/>
    <w:rsid w:val="00B006FE"/>
    <w:rsid w:val="00B007CB"/>
    <w:rsid w:val="00B026E4"/>
    <w:rsid w:val="00B02AA9"/>
    <w:rsid w:val="00B02FA3"/>
    <w:rsid w:val="00B05084"/>
    <w:rsid w:val="00B13707"/>
    <w:rsid w:val="00B157F9"/>
    <w:rsid w:val="00B167F1"/>
    <w:rsid w:val="00B20256"/>
    <w:rsid w:val="00B20D09"/>
    <w:rsid w:val="00B2763F"/>
    <w:rsid w:val="00B27AAC"/>
    <w:rsid w:val="00B30929"/>
    <w:rsid w:val="00B372AA"/>
    <w:rsid w:val="00B40445"/>
    <w:rsid w:val="00B41888"/>
    <w:rsid w:val="00B45A52"/>
    <w:rsid w:val="00B46175"/>
    <w:rsid w:val="00B5677F"/>
    <w:rsid w:val="00B62AAA"/>
    <w:rsid w:val="00B664C7"/>
    <w:rsid w:val="00B6692D"/>
    <w:rsid w:val="00B739F6"/>
    <w:rsid w:val="00B81A6C"/>
    <w:rsid w:val="00B85DE5"/>
    <w:rsid w:val="00B90F73"/>
    <w:rsid w:val="00B93B59"/>
    <w:rsid w:val="00B9406A"/>
    <w:rsid w:val="00BA2280"/>
    <w:rsid w:val="00BA2A08"/>
    <w:rsid w:val="00BA56D2"/>
    <w:rsid w:val="00BA76E0"/>
    <w:rsid w:val="00BB1BEC"/>
    <w:rsid w:val="00BB2A25"/>
    <w:rsid w:val="00BB51E9"/>
    <w:rsid w:val="00BC0FDC"/>
    <w:rsid w:val="00BC3053"/>
    <w:rsid w:val="00BC4D2E"/>
    <w:rsid w:val="00BD48AC"/>
    <w:rsid w:val="00BD5F1A"/>
    <w:rsid w:val="00BE1234"/>
    <w:rsid w:val="00BE2FA6"/>
    <w:rsid w:val="00BE333F"/>
    <w:rsid w:val="00BE4FA0"/>
    <w:rsid w:val="00BE7406"/>
    <w:rsid w:val="00BE7603"/>
    <w:rsid w:val="00BF0E3A"/>
    <w:rsid w:val="00BF3279"/>
    <w:rsid w:val="00BF4552"/>
    <w:rsid w:val="00BF5EC1"/>
    <w:rsid w:val="00BF74C7"/>
    <w:rsid w:val="00C015F1"/>
    <w:rsid w:val="00C01F33"/>
    <w:rsid w:val="00C02CC6"/>
    <w:rsid w:val="00C0313A"/>
    <w:rsid w:val="00C040F7"/>
    <w:rsid w:val="00C041B0"/>
    <w:rsid w:val="00C044AB"/>
    <w:rsid w:val="00C05706"/>
    <w:rsid w:val="00C07377"/>
    <w:rsid w:val="00C10478"/>
    <w:rsid w:val="00C12107"/>
    <w:rsid w:val="00C14D4B"/>
    <w:rsid w:val="00C154BB"/>
    <w:rsid w:val="00C26FAA"/>
    <w:rsid w:val="00C279B5"/>
    <w:rsid w:val="00C27C45"/>
    <w:rsid w:val="00C329D2"/>
    <w:rsid w:val="00C3719D"/>
    <w:rsid w:val="00C54995"/>
    <w:rsid w:val="00C54D41"/>
    <w:rsid w:val="00C57BE8"/>
    <w:rsid w:val="00C60783"/>
    <w:rsid w:val="00C60EE2"/>
    <w:rsid w:val="00C610EE"/>
    <w:rsid w:val="00C64400"/>
    <w:rsid w:val="00C64672"/>
    <w:rsid w:val="00C70697"/>
    <w:rsid w:val="00C72EF4"/>
    <w:rsid w:val="00C75D2F"/>
    <w:rsid w:val="00C76439"/>
    <w:rsid w:val="00C767BE"/>
    <w:rsid w:val="00C76963"/>
    <w:rsid w:val="00C76E3C"/>
    <w:rsid w:val="00C81568"/>
    <w:rsid w:val="00C8756C"/>
    <w:rsid w:val="00C9027A"/>
    <w:rsid w:val="00C9068E"/>
    <w:rsid w:val="00C92AB1"/>
    <w:rsid w:val="00C93C4B"/>
    <w:rsid w:val="00C944AB"/>
    <w:rsid w:val="00C95B40"/>
    <w:rsid w:val="00CA1ED8"/>
    <w:rsid w:val="00CB1F63"/>
    <w:rsid w:val="00CB7170"/>
    <w:rsid w:val="00CC040E"/>
    <w:rsid w:val="00CC111F"/>
    <w:rsid w:val="00CC1FAF"/>
    <w:rsid w:val="00CC2011"/>
    <w:rsid w:val="00CC3EA0"/>
    <w:rsid w:val="00CC5D0F"/>
    <w:rsid w:val="00CC7B45"/>
    <w:rsid w:val="00CD0E43"/>
    <w:rsid w:val="00CD1188"/>
    <w:rsid w:val="00CD1645"/>
    <w:rsid w:val="00CD2310"/>
    <w:rsid w:val="00CD2ED1"/>
    <w:rsid w:val="00CD337B"/>
    <w:rsid w:val="00CD774B"/>
    <w:rsid w:val="00CE0424"/>
    <w:rsid w:val="00CE7561"/>
    <w:rsid w:val="00CF1354"/>
    <w:rsid w:val="00CF3B1F"/>
    <w:rsid w:val="00CF3BF6"/>
    <w:rsid w:val="00CF625B"/>
    <w:rsid w:val="00CF687E"/>
    <w:rsid w:val="00D0349B"/>
    <w:rsid w:val="00D04434"/>
    <w:rsid w:val="00D04BD0"/>
    <w:rsid w:val="00D10249"/>
    <w:rsid w:val="00D115C3"/>
    <w:rsid w:val="00D11897"/>
    <w:rsid w:val="00D13135"/>
    <w:rsid w:val="00D13E4E"/>
    <w:rsid w:val="00D23855"/>
    <w:rsid w:val="00D239A7"/>
    <w:rsid w:val="00D23F47"/>
    <w:rsid w:val="00D3005B"/>
    <w:rsid w:val="00D36E71"/>
    <w:rsid w:val="00D37D87"/>
    <w:rsid w:val="00D40B33"/>
    <w:rsid w:val="00D4318F"/>
    <w:rsid w:val="00D438BF"/>
    <w:rsid w:val="00D440F8"/>
    <w:rsid w:val="00D4799E"/>
    <w:rsid w:val="00D53185"/>
    <w:rsid w:val="00D546FF"/>
    <w:rsid w:val="00D55AD5"/>
    <w:rsid w:val="00D55B2F"/>
    <w:rsid w:val="00D576CA"/>
    <w:rsid w:val="00D60E13"/>
    <w:rsid w:val="00D61AF5"/>
    <w:rsid w:val="00D62CD5"/>
    <w:rsid w:val="00D6435F"/>
    <w:rsid w:val="00D652B5"/>
    <w:rsid w:val="00D66155"/>
    <w:rsid w:val="00D708B0"/>
    <w:rsid w:val="00D77273"/>
    <w:rsid w:val="00D77B1D"/>
    <w:rsid w:val="00D8021F"/>
    <w:rsid w:val="00D80383"/>
    <w:rsid w:val="00D823C6"/>
    <w:rsid w:val="00D8687A"/>
    <w:rsid w:val="00D86CA3"/>
    <w:rsid w:val="00D871CE"/>
    <w:rsid w:val="00D9196D"/>
    <w:rsid w:val="00D92982"/>
    <w:rsid w:val="00D97E38"/>
    <w:rsid w:val="00DA305E"/>
    <w:rsid w:val="00DA5007"/>
    <w:rsid w:val="00DA5417"/>
    <w:rsid w:val="00DA56E8"/>
    <w:rsid w:val="00DB0A9F"/>
    <w:rsid w:val="00DB377D"/>
    <w:rsid w:val="00DB3A5C"/>
    <w:rsid w:val="00DC0BCD"/>
    <w:rsid w:val="00DC2D36"/>
    <w:rsid w:val="00DC53EF"/>
    <w:rsid w:val="00DE5608"/>
    <w:rsid w:val="00DE58D0"/>
    <w:rsid w:val="00DE654F"/>
    <w:rsid w:val="00DF0B6E"/>
    <w:rsid w:val="00DF15E0"/>
    <w:rsid w:val="00DF37A0"/>
    <w:rsid w:val="00E110E7"/>
    <w:rsid w:val="00E11B20"/>
    <w:rsid w:val="00E133B1"/>
    <w:rsid w:val="00E148ED"/>
    <w:rsid w:val="00E17FA2"/>
    <w:rsid w:val="00E22330"/>
    <w:rsid w:val="00E233B0"/>
    <w:rsid w:val="00E30B5A"/>
    <w:rsid w:val="00E3123D"/>
    <w:rsid w:val="00E31461"/>
    <w:rsid w:val="00E31D43"/>
    <w:rsid w:val="00E32608"/>
    <w:rsid w:val="00E34188"/>
    <w:rsid w:val="00E345CD"/>
    <w:rsid w:val="00E34B6E"/>
    <w:rsid w:val="00E35559"/>
    <w:rsid w:val="00E3723A"/>
    <w:rsid w:val="00E37860"/>
    <w:rsid w:val="00E37F19"/>
    <w:rsid w:val="00E446F1"/>
    <w:rsid w:val="00E461B8"/>
    <w:rsid w:val="00E46886"/>
    <w:rsid w:val="00E47AEF"/>
    <w:rsid w:val="00E53B75"/>
    <w:rsid w:val="00E54E3B"/>
    <w:rsid w:val="00E57565"/>
    <w:rsid w:val="00E63838"/>
    <w:rsid w:val="00E64434"/>
    <w:rsid w:val="00E67C51"/>
    <w:rsid w:val="00E72EFC"/>
    <w:rsid w:val="00E73EA1"/>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0CF0"/>
    <w:rsid w:val="00ED1006"/>
    <w:rsid w:val="00EF18FE"/>
    <w:rsid w:val="00EF49B7"/>
    <w:rsid w:val="00EF5787"/>
    <w:rsid w:val="00EF60D0"/>
    <w:rsid w:val="00F0528D"/>
    <w:rsid w:val="00F06C67"/>
    <w:rsid w:val="00F06DFD"/>
    <w:rsid w:val="00F071D1"/>
    <w:rsid w:val="00F07533"/>
    <w:rsid w:val="00F10629"/>
    <w:rsid w:val="00F15FA5"/>
    <w:rsid w:val="00F209B7"/>
    <w:rsid w:val="00F22987"/>
    <w:rsid w:val="00F2376F"/>
    <w:rsid w:val="00F243D8"/>
    <w:rsid w:val="00F30243"/>
    <w:rsid w:val="00F30828"/>
    <w:rsid w:val="00F313D6"/>
    <w:rsid w:val="00F32144"/>
    <w:rsid w:val="00F40F0C"/>
    <w:rsid w:val="00F4766C"/>
    <w:rsid w:val="00F507D1"/>
    <w:rsid w:val="00F519CE"/>
    <w:rsid w:val="00F51ADA"/>
    <w:rsid w:val="00F57828"/>
    <w:rsid w:val="00F607C5"/>
    <w:rsid w:val="00F60DEA"/>
    <w:rsid w:val="00F62CD9"/>
    <w:rsid w:val="00F6302A"/>
    <w:rsid w:val="00F645A9"/>
    <w:rsid w:val="00F64C2B"/>
    <w:rsid w:val="00F651BE"/>
    <w:rsid w:val="00F67F53"/>
    <w:rsid w:val="00F703BE"/>
    <w:rsid w:val="00F71F69"/>
    <w:rsid w:val="00F72B72"/>
    <w:rsid w:val="00F7463B"/>
    <w:rsid w:val="00F74BB9"/>
    <w:rsid w:val="00F75582"/>
    <w:rsid w:val="00F75A7F"/>
    <w:rsid w:val="00F76EFA"/>
    <w:rsid w:val="00F804BE"/>
    <w:rsid w:val="00F817CE"/>
    <w:rsid w:val="00F8456C"/>
    <w:rsid w:val="00F8551A"/>
    <w:rsid w:val="00F859D8"/>
    <w:rsid w:val="00F868F5"/>
    <w:rsid w:val="00F9056A"/>
    <w:rsid w:val="00F90F8D"/>
    <w:rsid w:val="00F91A12"/>
    <w:rsid w:val="00F92782"/>
    <w:rsid w:val="00F93AA9"/>
    <w:rsid w:val="00F96985"/>
    <w:rsid w:val="00F97838"/>
    <w:rsid w:val="00FA2BB3"/>
    <w:rsid w:val="00FB4C80"/>
    <w:rsid w:val="00FB6A6A"/>
    <w:rsid w:val="00FC19C3"/>
    <w:rsid w:val="00FC4AD0"/>
    <w:rsid w:val="00FC7429"/>
    <w:rsid w:val="00FD07F6"/>
    <w:rsid w:val="00FD1EC8"/>
    <w:rsid w:val="00FD3F6B"/>
    <w:rsid w:val="00FD3FB3"/>
    <w:rsid w:val="00FD47ED"/>
    <w:rsid w:val="00FD74DB"/>
    <w:rsid w:val="00FD7660"/>
    <w:rsid w:val="00FE0655"/>
    <w:rsid w:val="00FE15B3"/>
    <w:rsid w:val="00FE2365"/>
    <w:rsid w:val="00FE4C7B"/>
    <w:rsid w:val="00FE7336"/>
    <w:rsid w:val="00FE787C"/>
    <w:rsid w:val="00FF45A5"/>
    <w:rsid w:val="00FF550A"/>
    <w:rsid w:val="00FF5C91"/>
    <w:rsid w:val="00FF79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CCCE0"/>
  <w15:docId w15:val="{50961C68-DA9D-4975-81B7-930CD9C0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C710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C71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C710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C7108"/>
    <w:pPr>
      <w:numPr>
        <w:ilvl w:val="2"/>
      </w:numPr>
      <w:spacing w:before="120"/>
      <w:outlineLvl w:val="2"/>
    </w:pPr>
    <w:rPr>
      <w:sz w:val="28"/>
      <w:szCs w:val="28"/>
    </w:rPr>
  </w:style>
  <w:style w:type="paragraph" w:styleId="Heading4">
    <w:name w:val="heading 4"/>
    <w:basedOn w:val="Heading3"/>
    <w:next w:val="Normal"/>
    <w:qFormat/>
    <w:rsid w:val="001C7108"/>
    <w:pPr>
      <w:numPr>
        <w:ilvl w:val="3"/>
      </w:numPr>
      <w:outlineLvl w:val="3"/>
    </w:pPr>
    <w:rPr>
      <w:sz w:val="24"/>
      <w:szCs w:val="24"/>
    </w:rPr>
  </w:style>
  <w:style w:type="paragraph" w:styleId="Heading5">
    <w:name w:val="heading 5"/>
    <w:basedOn w:val="Heading4"/>
    <w:next w:val="Normal"/>
    <w:qFormat/>
    <w:rsid w:val="001C7108"/>
    <w:pPr>
      <w:numPr>
        <w:ilvl w:val="4"/>
      </w:numPr>
      <w:outlineLvl w:val="4"/>
    </w:pPr>
    <w:rPr>
      <w:sz w:val="22"/>
      <w:szCs w:val="22"/>
    </w:rPr>
  </w:style>
  <w:style w:type="paragraph" w:styleId="Heading6">
    <w:name w:val="heading 6"/>
    <w:basedOn w:val="Normal"/>
    <w:next w:val="Normal"/>
    <w:qFormat/>
    <w:rsid w:val="001C7108"/>
    <w:pPr>
      <w:keepNext/>
      <w:keepLines/>
      <w:numPr>
        <w:ilvl w:val="5"/>
        <w:numId w:val="1"/>
      </w:numPr>
      <w:spacing w:before="120"/>
      <w:outlineLvl w:val="5"/>
    </w:pPr>
    <w:rPr>
      <w:rFonts w:cs="Arial"/>
    </w:rPr>
  </w:style>
  <w:style w:type="paragraph" w:styleId="Heading7">
    <w:name w:val="heading 7"/>
    <w:basedOn w:val="Normal"/>
    <w:next w:val="Normal"/>
    <w:qFormat/>
    <w:rsid w:val="001C7108"/>
    <w:pPr>
      <w:keepNext/>
      <w:keepLines/>
      <w:numPr>
        <w:ilvl w:val="6"/>
        <w:numId w:val="1"/>
      </w:numPr>
      <w:spacing w:before="120"/>
      <w:outlineLvl w:val="6"/>
    </w:pPr>
    <w:rPr>
      <w:rFonts w:cs="Arial"/>
    </w:rPr>
  </w:style>
  <w:style w:type="paragraph" w:styleId="Heading8">
    <w:name w:val="heading 8"/>
    <w:basedOn w:val="Heading7"/>
    <w:next w:val="Normal"/>
    <w:qFormat/>
    <w:rsid w:val="001C7108"/>
    <w:pPr>
      <w:numPr>
        <w:ilvl w:val="7"/>
      </w:numPr>
      <w:outlineLvl w:val="7"/>
    </w:pPr>
  </w:style>
  <w:style w:type="paragraph" w:styleId="Heading9">
    <w:name w:val="heading 9"/>
    <w:basedOn w:val="Heading8"/>
    <w:next w:val="Normal"/>
    <w:qFormat/>
    <w:rsid w:val="001C7108"/>
    <w:pPr>
      <w:numPr>
        <w:ilvl w:val="8"/>
      </w:numPr>
      <w:outlineLvl w:val="8"/>
    </w:pPr>
  </w:style>
  <w:style w:type="character" w:default="1" w:styleId="DefaultParagraphFont">
    <w:name w:val="Default Paragraph Font"/>
    <w:semiHidden/>
    <w:rsid w:val="001C71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C7108"/>
  </w:style>
  <w:style w:type="paragraph" w:styleId="TOC8">
    <w:name w:val="toc 8"/>
    <w:basedOn w:val="TOC1"/>
    <w:semiHidden/>
    <w:rsid w:val="001C7108"/>
    <w:pPr>
      <w:spacing w:before="180"/>
      <w:ind w:left="2693" w:hanging="2693"/>
    </w:pPr>
    <w:rPr>
      <w:b w:val="0"/>
      <w:bCs/>
    </w:rPr>
  </w:style>
  <w:style w:type="paragraph" w:styleId="TOC1">
    <w:name w:val="toc 1"/>
    <w:aliases w:val="Observation TOC2"/>
    <w:uiPriority w:val="39"/>
    <w:rsid w:val="001C710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1C7108"/>
    <w:pPr>
      <w:keepNext/>
      <w:keepLines/>
      <w:spacing w:before="180"/>
      <w:jc w:val="center"/>
    </w:pPr>
  </w:style>
  <w:style w:type="paragraph" w:styleId="Caption">
    <w:name w:val="caption"/>
    <w:basedOn w:val="Normal"/>
    <w:next w:val="Normal"/>
    <w:qFormat/>
    <w:rsid w:val="001C7108"/>
    <w:pPr>
      <w:spacing w:after="240"/>
      <w:jc w:val="center"/>
    </w:pPr>
    <w:rPr>
      <w:b/>
      <w:bCs/>
    </w:rPr>
  </w:style>
  <w:style w:type="paragraph" w:styleId="TOC5">
    <w:name w:val="toc 5"/>
    <w:aliases w:val="Observation TOC"/>
    <w:basedOn w:val="TOC4"/>
    <w:semiHidden/>
    <w:rsid w:val="001C7108"/>
    <w:pPr>
      <w:tabs>
        <w:tab w:val="right" w:pos="1701"/>
      </w:tabs>
      <w:ind w:left="1701" w:hanging="1701"/>
    </w:pPr>
  </w:style>
  <w:style w:type="paragraph" w:styleId="TOC4">
    <w:name w:val="toc 4"/>
    <w:basedOn w:val="TOC3"/>
    <w:semiHidden/>
    <w:rsid w:val="001C7108"/>
    <w:pPr>
      <w:ind w:left="1418" w:hanging="1418"/>
    </w:pPr>
  </w:style>
  <w:style w:type="paragraph" w:styleId="TOC3">
    <w:name w:val="toc 3"/>
    <w:basedOn w:val="TOC2"/>
    <w:semiHidden/>
    <w:rsid w:val="001C7108"/>
    <w:pPr>
      <w:ind w:left="1134" w:hanging="1134"/>
    </w:pPr>
  </w:style>
  <w:style w:type="paragraph" w:styleId="TOC2">
    <w:name w:val="toc 2"/>
    <w:basedOn w:val="TOC1"/>
    <w:semiHidden/>
    <w:rsid w:val="001C7108"/>
    <w:pPr>
      <w:keepNext w:val="0"/>
      <w:spacing w:before="0"/>
      <w:ind w:left="851" w:hanging="851"/>
    </w:pPr>
    <w:rPr>
      <w:szCs w:val="20"/>
    </w:rPr>
  </w:style>
  <w:style w:type="paragraph" w:styleId="Index2">
    <w:name w:val="index 2"/>
    <w:basedOn w:val="Index1"/>
    <w:semiHidden/>
    <w:rsid w:val="001C7108"/>
    <w:pPr>
      <w:ind w:left="284"/>
    </w:pPr>
  </w:style>
  <w:style w:type="paragraph" w:styleId="Index1">
    <w:name w:val="index 1"/>
    <w:basedOn w:val="Normal"/>
    <w:semiHidden/>
    <w:rsid w:val="001C7108"/>
    <w:pPr>
      <w:keepLines/>
      <w:spacing w:after="0"/>
    </w:pPr>
  </w:style>
  <w:style w:type="paragraph" w:styleId="DocumentMap">
    <w:name w:val="Document Map"/>
    <w:basedOn w:val="Normal"/>
    <w:semiHidden/>
    <w:rsid w:val="001C7108"/>
    <w:pPr>
      <w:shd w:val="clear" w:color="auto" w:fill="000080"/>
    </w:pPr>
    <w:rPr>
      <w:rFonts w:ascii="Tahoma" w:hAnsi="Tahoma" w:cs="Tahoma"/>
    </w:rPr>
  </w:style>
  <w:style w:type="paragraph" w:styleId="ListNumber2">
    <w:name w:val="List Number 2"/>
    <w:basedOn w:val="ListNumber"/>
    <w:rsid w:val="001C7108"/>
    <w:pPr>
      <w:ind w:left="851"/>
    </w:pPr>
  </w:style>
  <w:style w:type="paragraph" w:styleId="ListNumber">
    <w:name w:val="List Number"/>
    <w:basedOn w:val="List"/>
    <w:rsid w:val="001C7108"/>
  </w:style>
  <w:style w:type="paragraph" w:styleId="List">
    <w:name w:val="List"/>
    <w:basedOn w:val="Normal"/>
    <w:rsid w:val="001C7108"/>
    <w:pPr>
      <w:ind w:left="568" w:hanging="284"/>
    </w:pPr>
  </w:style>
  <w:style w:type="paragraph" w:styleId="Header">
    <w:name w:val="header"/>
    <w:rsid w:val="001C710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1C7108"/>
    <w:rPr>
      <w:b/>
      <w:bCs/>
      <w:position w:val="6"/>
      <w:sz w:val="16"/>
      <w:szCs w:val="16"/>
    </w:rPr>
  </w:style>
  <w:style w:type="paragraph" w:styleId="FootnoteText">
    <w:name w:val="footnote text"/>
    <w:basedOn w:val="Normal"/>
    <w:semiHidden/>
    <w:rsid w:val="001C7108"/>
    <w:pPr>
      <w:keepLines/>
      <w:spacing w:after="0"/>
      <w:ind w:left="454" w:hanging="454"/>
    </w:pPr>
    <w:rPr>
      <w:sz w:val="16"/>
      <w:szCs w:val="16"/>
    </w:rPr>
  </w:style>
  <w:style w:type="paragraph" w:customStyle="1" w:styleId="3GPPHeader">
    <w:name w:val="3GPP_Header"/>
    <w:basedOn w:val="Normal"/>
    <w:rsid w:val="001C7108"/>
    <w:pPr>
      <w:tabs>
        <w:tab w:val="left" w:pos="1701"/>
        <w:tab w:val="right" w:pos="9639"/>
      </w:tabs>
      <w:spacing w:after="240"/>
    </w:pPr>
    <w:rPr>
      <w:b/>
      <w:sz w:val="24"/>
    </w:rPr>
  </w:style>
  <w:style w:type="paragraph" w:styleId="TOC9">
    <w:name w:val="toc 9"/>
    <w:basedOn w:val="TOC8"/>
    <w:semiHidden/>
    <w:rsid w:val="001C7108"/>
    <w:pPr>
      <w:ind w:left="1418" w:hanging="1418"/>
    </w:pPr>
  </w:style>
  <w:style w:type="paragraph" w:styleId="TOC6">
    <w:name w:val="toc 6"/>
    <w:basedOn w:val="TOC5"/>
    <w:next w:val="Normal"/>
    <w:semiHidden/>
    <w:rsid w:val="001C7108"/>
    <w:pPr>
      <w:ind w:left="1985" w:hanging="1985"/>
    </w:pPr>
  </w:style>
  <w:style w:type="paragraph" w:styleId="TOC7">
    <w:name w:val="toc 7"/>
    <w:basedOn w:val="TOC6"/>
    <w:next w:val="Normal"/>
    <w:semiHidden/>
    <w:rsid w:val="001C7108"/>
    <w:pPr>
      <w:ind w:left="2268" w:hanging="2268"/>
    </w:pPr>
  </w:style>
  <w:style w:type="paragraph" w:styleId="ListBullet2">
    <w:name w:val="List Bullet 2"/>
    <w:basedOn w:val="ListBullet"/>
    <w:rsid w:val="001C7108"/>
    <w:pPr>
      <w:numPr>
        <w:numId w:val="6"/>
      </w:numPr>
    </w:pPr>
  </w:style>
  <w:style w:type="paragraph" w:styleId="ListBullet">
    <w:name w:val="List Bullet"/>
    <w:basedOn w:val="BodyText"/>
    <w:rsid w:val="001C7108"/>
    <w:pPr>
      <w:numPr>
        <w:numId w:val="5"/>
      </w:numPr>
    </w:pPr>
  </w:style>
  <w:style w:type="paragraph" w:styleId="ListBullet3">
    <w:name w:val="List Bullet 3"/>
    <w:basedOn w:val="ListBullet2"/>
    <w:rsid w:val="001C7108"/>
    <w:pPr>
      <w:numPr>
        <w:numId w:val="7"/>
      </w:numPr>
    </w:pPr>
  </w:style>
  <w:style w:type="paragraph" w:customStyle="1" w:styleId="EQ">
    <w:name w:val="EQ"/>
    <w:basedOn w:val="Normal"/>
    <w:next w:val="Normal"/>
    <w:rsid w:val="001C7108"/>
    <w:pPr>
      <w:keepLines/>
      <w:tabs>
        <w:tab w:val="center" w:pos="4536"/>
        <w:tab w:val="right" w:pos="9072"/>
      </w:tabs>
      <w:spacing w:after="180"/>
      <w:jc w:val="left"/>
    </w:pPr>
    <w:rPr>
      <w:noProof/>
      <w:lang w:eastAsia="en-US"/>
    </w:rPr>
  </w:style>
  <w:style w:type="paragraph" w:styleId="List2">
    <w:name w:val="List 2"/>
    <w:basedOn w:val="List"/>
    <w:rsid w:val="001C7108"/>
    <w:pPr>
      <w:ind w:left="851"/>
    </w:pPr>
  </w:style>
  <w:style w:type="paragraph" w:styleId="List3">
    <w:name w:val="List 3"/>
    <w:basedOn w:val="List2"/>
    <w:rsid w:val="001C7108"/>
    <w:pPr>
      <w:ind w:left="1135"/>
    </w:pPr>
  </w:style>
  <w:style w:type="paragraph" w:styleId="List4">
    <w:name w:val="List 4"/>
    <w:basedOn w:val="List3"/>
    <w:rsid w:val="001C7108"/>
    <w:pPr>
      <w:ind w:left="1418"/>
    </w:pPr>
  </w:style>
  <w:style w:type="paragraph" w:styleId="List5">
    <w:name w:val="List 5"/>
    <w:basedOn w:val="List4"/>
    <w:rsid w:val="001C7108"/>
    <w:pPr>
      <w:ind w:left="1702"/>
    </w:pPr>
  </w:style>
  <w:style w:type="paragraph" w:customStyle="1" w:styleId="EditorsNote">
    <w:name w:val="Editor's Note"/>
    <w:basedOn w:val="Normal"/>
    <w:rsid w:val="001C7108"/>
    <w:pPr>
      <w:keepLines/>
      <w:spacing w:after="180"/>
      <w:ind w:left="1135" w:hanging="851"/>
      <w:jc w:val="left"/>
    </w:pPr>
    <w:rPr>
      <w:color w:val="FF0000"/>
      <w:lang w:eastAsia="en-US"/>
    </w:rPr>
  </w:style>
  <w:style w:type="paragraph" w:styleId="ListBullet4">
    <w:name w:val="List Bullet 4"/>
    <w:basedOn w:val="ListBullet3"/>
    <w:rsid w:val="001C7108"/>
    <w:pPr>
      <w:numPr>
        <w:numId w:val="8"/>
      </w:numPr>
    </w:pPr>
  </w:style>
  <w:style w:type="paragraph" w:styleId="ListBullet5">
    <w:name w:val="List Bullet 5"/>
    <w:basedOn w:val="ListBullet4"/>
    <w:rsid w:val="001C7108"/>
    <w:pPr>
      <w:numPr>
        <w:numId w:val="4"/>
      </w:numPr>
    </w:pPr>
  </w:style>
  <w:style w:type="paragraph" w:styleId="Footer">
    <w:name w:val="footer"/>
    <w:basedOn w:val="Header"/>
    <w:semiHidden/>
    <w:rsid w:val="001C7108"/>
    <w:pPr>
      <w:jc w:val="center"/>
    </w:pPr>
    <w:rPr>
      <w:i/>
      <w:iCs/>
    </w:rPr>
  </w:style>
  <w:style w:type="paragraph" w:customStyle="1" w:styleId="Reference">
    <w:name w:val="Reference"/>
    <w:basedOn w:val="Normal"/>
    <w:rsid w:val="001C7108"/>
    <w:pPr>
      <w:numPr>
        <w:numId w:val="2"/>
      </w:numPr>
    </w:pPr>
  </w:style>
  <w:style w:type="paragraph" w:styleId="BalloonText">
    <w:name w:val="Balloon Text"/>
    <w:basedOn w:val="Normal"/>
    <w:semiHidden/>
    <w:rsid w:val="001C7108"/>
    <w:rPr>
      <w:rFonts w:ascii="Tahoma" w:hAnsi="Tahoma" w:cs="Tahoma"/>
      <w:sz w:val="16"/>
      <w:szCs w:val="16"/>
    </w:rPr>
  </w:style>
  <w:style w:type="character" w:styleId="PageNumber">
    <w:name w:val="page number"/>
    <w:basedOn w:val="DefaultParagraphFont"/>
    <w:semiHidden/>
    <w:rsid w:val="001C7108"/>
  </w:style>
  <w:style w:type="paragraph" w:styleId="BodyText">
    <w:name w:val="Body Text"/>
    <w:basedOn w:val="Normal"/>
    <w:link w:val="BodyTextChar"/>
    <w:rsid w:val="001C7108"/>
  </w:style>
  <w:style w:type="character" w:styleId="Hyperlink">
    <w:name w:val="Hyperlink"/>
    <w:uiPriority w:val="99"/>
    <w:rsid w:val="001C7108"/>
    <w:rPr>
      <w:color w:val="0000FF"/>
      <w:u w:val="single"/>
      <w:lang w:val="en-GB"/>
    </w:rPr>
  </w:style>
  <w:style w:type="character" w:styleId="FollowedHyperlink">
    <w:name w:val="FollowedHyperlink"/>
    <w:semiHidden/>
    <w:rsid w:val="001C7108"/>
    <w:rPr>
      <w:color w:val="FF0000"/>
      <w:u w:val="single"/>
    </w:rPr>
  </w:style>
  <w:style w:type="character" w:styleId="CommentReference">
    <w:name w:val="annotation reference"/>
    <w:semiHidden/>
    <w:rsid w:val="001C7108"/>
    <w:rPr>
      <w:sz w:val="16"/>
      <w:szCs w:val="16"/>
    </w:rPr>
  </w:style>
  <w:style w:type="paragraph" w:styleId="CommentText">
    <w:name w:val="annotation text"/>
    <w:basedOn w:val="Normal"/>
    <w:semiHidden/>
    <w:rsid w:val="001C7108"/>
  </w:style>
  <w:style w:type="paragraph" w:styleId="CommentSubject">
    <w:name w:val="annotation subject"/>
    <w:basedOn w:val="CommentText"/>
    <w:next w:val="CommentText"/>
    <w:semiHidden/>
    <w:rsid w:val="001C7108"/>
    <w:rPr>
      <w:b/>
      <w:bCs/>
    </w:rPr>
  </w:style>
  <w:style w:type="character" w:customStyle="1" w:styleId="Heading1Char">
    <w:name w:val="Heading 1 Char"/>
    <w:link w:val="Heading1"/>
    <w:rsid w:val="001C7108"/>
    <w:rPr>
      <w:rFonts w:ascii="Arial" w:hAnsi="Arial" w:cs="Arial"/>
      <w:sz w:val="36"/>
      <w:szCs w:val="36"/>
      <w:lang w:val="en-GB" w:eastAsia="zh-CN"/>
    </w:rPr>
  </w:style>
  <w:style w:type="paragraph" w:customStyle="1" w:styleId="B1">
    <w:name w:val="B1"/>
    <w:basedOn w:val="List"/>
    <w:rsid w:val="001C7108"/>
    <w:pPr>
      <w:spacing w:after="180"/>
      <w:jc w:val="left"/>
    </w:pPr>
    <w:rPr>
      <w:lang w:eastAsia="en-US"/>
    </w:rPr>
  </w:style>
  <w:style w:type="paragraph" w:customStyle="1" w:styleId="B2">
    <w:name w:val="B2"/>
    <w:basedOn w:val="List2"/>
    <w:rsid w:val="001C7108"/>
    <w:pPr>
      <w:spacing w:after="180"/>
      <w:jc w:val="left"/>
    </w:pPr>
    <w:rPr>
      <w:lang w:eastAsia="en-US"/>
    </w:rPr>
  </w:style>
  <w:style w:type="paragraph" w:customStyle="1" w:styleId="B3">
    <w:name w:val="B3"/>
    <w:basedOn w:val="List3"/>
    <w:rsid w:val="001C7108"/>
    <w:pPr>
      <w:spacing w:after="180"/>
      <w:jc w:val="left"/>
    </w:pPr>
    <w:rPr>
      <w:lang w:eastAsia="en-US"/>
    </w:rPr>
  </w:style>
  <w:style w:type="paragraph" w:customStyle="1" w:styleId="B4">
    <w:name w:val="B4"/>
    <w:basedOn w:val="List4"/>
    <w:rsid w:val="001C7108"/>
    <w:pPr>
      <w:spacing w:after="180"/>
      <w:jc w:val="left"/>
    </w:pPr>
    <w:rPr>
      <w:lang w:eastAsia="en-US"/>
    </w:rPr>
  </w:style>
  <w:style w:type="paragraph" w:customStyle="1" w:styleId="Proposal">
    <w:name w:val="Proposal"/>
    <w:basedOn w:val="Normal"/>
    <w:rsid w:val="001C7108"/>
    <w:pPr>
      <w:numPr>
        <w:numId w:val="3"/>
      </w:numPr>
      <w:tabs>
        <w:tab w:val="clear" w:pos="1304"/>
        <w:tab w:val="left" w:pos="1701"/>
      </w:tabs>
      <w:ind w:left="1701" w:hanging="1701"/>
    </w:pPr>
    <w:rPr>
      <w:b/>
      <w:bCs/>
    </w:rPr>
  </w:style>
  <w:style w:type="character" w:customStyle="1" w:styleId="BodyTextChar">
    <w:name w:val="Body Text Char"/>
    <w:link w:val="BodyText"/>
    <w:rsid w:val="001C7108"/>
    <w:rPr>
      <w:rFonts w:ascii="Arial" w:hAnsi="Arial"/>
      <w:lang w:val="en-GB" w:eastAsia="zh-CN"/>
    </w:rPr>
  </w:style>
  <w:style w:type="paragraph" w:customStyle="1" w:styleId="B5">
    <w:name w:val="B5"/>
    <w:basedOn w:val="List5"/>
    <w:rsid w:val="001C7108"/>
    <w:pPr>
      <w:spacing w:after="180"/>
      <w:jc w:val="left"/>
    </w:pPr>
    <w:rPr>
      <w:lang w:eastAsia="en-US"/>
    </w:rPr>
  </w:style>
  <w:style w:type="paragraph" w:customStyle="1" w:styleId="EX">
    <w:name w:val="EX"/>
    <w:basedOn w:val="Normal"/>
    <w:rsid w:val="001C7108"/>
    <w:pPr>
      <w:keepLines/>
      <w:spacing w:after="180"/>
      <w:ind w:left="1702" w:hanging="1418"/>
      <w:jc w:val="left"/>
    </w:pPr>
    <w:rPr>
      <w:lang w:eastAsia="en-US"/>
    </w:rPr>
  </w:style>
  <w:style w:type="paragraph" w:customStyle="1" w:styleId="EW">
    <w:name w:val="EW"/>
    <w:basedOn w:val="EX"/>
    <w:rsid w:val="001C7108"/>
    <w:pPr>
      <w:spacing w:after="0"/>
    </w:pPr>
  </w:style>
  <w:style w:type="paragraph" w:customStyle="1" w:styleId="TAL">
    <w:name w:val="TAL"/>
    <w:basedOn w:val="Normal"/>
    <w:rsid w:val="001C7108"/>
    <w:pPr>
      <w:keepNext/>
      <w:keepLines/>
      <w:spacing w:after="0"/>
      <w:jc w:val="left"/>
    </w:pPr>
    <w:rPr>
      <w:sz w:val="18"/>
      <w:lang w:eastAsia="en-US"/>
    </w:rPr>
  </w:style>
  <w:style w:type="paragraph" w:customStyle="1" w:styleId="TAC">
    <w:name w:val="TAC"/>
    <w:basedOn w:val="TAL"/>
    <w:rsid w:val="001C7108"/>
    <w:pPr>
      <w:jc w:val="center"/>
    </w:pPr>
  </w:style>
  <w:style w:type="paragraph" w:customStyle="1" w:styleId="TAH">
    <w:name w:val="TAH"/>
    <w:basedOn w:val="TAC"/>
    <w:rsid w:val="001C7108"/>
    <w:rPr>
      <w:b/>
    </w:rPr>
  </w:style>
  <w:style w:type="paragraph" w:customStyle="1" w:styleId="TAN">
    <w:name w:val="TAN"/>
    <w:basedOn w:val="TAL"/>
    <w:rsid w:val="001C7108"/>
    <w:pPr>
      <w:ind w:left="851" w:hanging="851"/>
    </w:pPr>
  </w:style>
  <w:style w:type="paragraph" w:customStyle="1" w:styleId="TAR">
    <w:name w:val="TAR"/>
    <w:basedOn w:val="TAL"/>
    <w:rsid w:val="001C7108"/>
    <w:pPr>
      <w:jc w:val="right"/>
    </w:pPr>
  </w:style>
  <w:style w:type="paragraph" w:customStyle="1" w:styleId="TH">
    <w:name w:val="TH"/>
    <w:basedOn w:val="Normal"/>
    <w:rsid w:val="001C7108"/>
    <w:pPr>
      <w:keepNext/>
      <w:keepLines/>
      <w:spacing w:before="60" w:after="180"/>
      <w:jc w:val="center"/>
    </w:pPr>
    <w:rPr>
      <w:b/>
      <w:lang w:eastAsia="en-US"/>
    </w:rPr>
  </w:style>
  <w:style w:type="paragraph" w:customStyle="1" w:styleId="TF">
    <w:name w:val="TF"/>
    <w:basedOn w:val="TH"/>
    <w:rsid w:val="001C7108"/>
    <w:pPr>
      <w:keepNext w:val="0"/>
      <w:spacing w:before="0" w:after="240"/>
    </w:pPr>
  </w:style>
  <w:style w:type="paragraph" w:customStyle="1" w:styleId="TT">
    <w:name w:val="TT"/>
    <w:basedOn w:val="Heading1"/>
    <w:next w:val="Normal"/>
    <w:rsid w:val="001C7108"/>
    <w:pPr>
      <w:numPr>
        <w:numId w:val="0"/>
      </w:numPr>
      <w:ind w:left="1134" w:hanging="1134"/>
      <w:outlineLvl w:val="9"/>
    </w:pPr>
    <w:rPr>
      <w:rFonts w:cs="Times New Roman"/>
      <w:szCs w:val="20"/>
      <w:lang w:eastAsia="en-US"/>
    </w:rPr>
  </w:style>
  <w:style w:type="paragraph" w:customStyle="1" w:styleId="ZA">
    <w:name w:val="ZA"/>
    <w:rsid w:val="001C71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C71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C71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1C71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1C7108"/>
  </w:style>
  <w:style w:type="paragraph" w:customStyle="1" w:styleId="ZH">
    <w:name w:val="ZH"/>
    <w:rsid w:val="001C71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1C71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C7108"/>
    <w:pPr>
      <w:framePr w:hRule="auto" w:wrap="notBeside" w:y="852"/>
    </w:pPr>
    <w:rPr>
      <w:i w:val="0"/>
      <w:sz w:val="40"/>
    </w:rPr>
  </w:style>
  <w:style w:type="paragraph" w:customStyle="1" w:styleId="ZU">
    <w:name w:val="ZU"/>
    <w:rsid w:val="001C71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C7108"/>
    <w:pPr>
      <w:framePr w:wrap="notBeside" w:y="16161"/>
    </w:pPr>
  </w:style>
  <w:style w:type="paragraph" w:customStyle="1" w:styleId="FP">
    <w:name w:val="FP"/>
    <w:basedOn w:val="Normal"/>
    <w:rsid w:val="001C7108"/>
    <w:pPr>
      <w:spacing w:after="0"/>
      <w:jc w:val="left"/>
    </w:pPr>
    <w:rPr>
      <w:lang w:eastAsia="en-US"/>
    </w:rPr>
  </w:style>
  <w:style w:type="paragraph" w:customStyle="1" w:styleId="Observation">
    <w:name w:val="Observation"/>
    <w:basedOn w:val="Proposal"/>
    <w:qFormat/>
    <w:rsid w:val="001C7108"/>
    <w:pPr>
      <w:numPr>
        <w:numId w:val="13"/>
      </w:numPr>
      <w:ind w:left="1701" w:hanging="1701"/>
    </w:pPr>
  </w:style>
  <w:style w:type="paragraph" w:styleId="TableofFigures">
    <w:name w:val="table of figures"/>
    <w:basedOn w:val="Normal"/>
    <w:next w:val="Normal"/>
    <w:uiPriority w:val="99"/>
    <w:rsid w:val="001C7108"/>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F8551A"/>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F8551A"/>
    <w:rPr>
      <w:rFonts w:ascii="Times New Roman" w:eastAsia="SimSun" w:hAnsi="Times New Roman"/>
      <w:lang w:val="en-GB" w:eastAsia="ja-JP"/>
    </w:rPr>
  </w:style>
  <w:style w:type="paragraph" w:styleId="Revision">
    <w:name w:val="Revision"/>
    <w:hidden/>
    <w:uiPriority w:val="99"/>
    <w:semiHidden/>
    <w:rsid w:val="00FD3F6B"/>
    <w:rPr>
      <w:rFonts w:ascii="Arial" w:hAnsi="Arial"/>
      <w:lang w:val="en-GB" w:eastAsia="zh-CN"/>
    </w:rPr>
  </w:style>
  <w:style w:type="paragraph" w:customStyle="1" w:styleId="Doc-text2">
    <w:name w:val="Doc-text2"/>
    <w:basedOn w:val="Normal"/>
    <w:link w:val="Doc-text2Char"/>
    <w:qFormat/>
    <w:rsid w:val="008454F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454F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1124">
      <w:bodyDiv w:val="1"/>
      <w:marLeft w:val="0"/>
      <w:marRight w:val="0"/>
      <w:marTop w:val="0"/>
      <w:marBottom w:val="0"/>
      <w:divBdr>
        <w:top w:val="none" w:sz="0" w:space="0" w:color="auto"/>
        <w:left w:val="none" w:sz="0" w:space="0" w:color="auto"/>
        <w:bottom w:val="none" w:sz="0" w:space="0" w:color="auto"/>
        <w:right w:val="none" w:sz="0" w:space="0" w:color="auto"/>
      </w:divBdr>
    </w:div>
    <w:div w:id="900138054">
      <w:bodyDiv w:val="1"/>
      <w:marLeft w:val="0"/>
      <w:marRight w:val="0"/>
      <w:marTop w:val="0"/>
      <w:marBottom w:val="0"/>
      <w:divBdr>
        <w:top w:val="none" w:sz="0" w:space="0" w:color="auto"/>
        <w:left w:val="none" w:sz="0" w:space="0" w:color="auto"/>
        <w:bottom w:val="none" w:sz="0" w:space="0" w:color="auto"/>
        <w:right w:val="none" w:sz="0" w:space="0" w:color="auto"/>
      </w:divBdr>
    </w:div>
    <w:div w:id="17294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SAQRZK7RPU5V-1-15891</_dlc_DocId>
    <_dlc_DocIdUrl xmlns="08b2df90-05d3-4030-90d4-c9feeb4a1cd9">
      <Url>https://ericoll.internal.ericsson.com/sites/NSA/_layouts/DocIdRedir.aspx?ID=SAQRZK7RPU5V-1-15891</Url>
      <Description>SAQRZK7RPU5V-1-15891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AC3-9D56-4E17-9C38-82CB0CFE8C07}"/>
</file>

<file path=customXml/itemProps2.xml><?xml version="1.0" encoding="utf-8"?>
<ds:datastoreItem xmlns:ds="http://schemas.openxmlformats.org/officeDocument/2006/customXml" ds:itemID="{BD09893C-0130-48EE-9CFA-98033D7DD4E1}"/>
</file>

<file path=customXml/itemProps3.xml><?xml version="1.0" encoding="utf-8"?>
<ds:datastoreItem xmlns:ds="http://schemas.openxmlformats.org/officeDocument/2006/customXml" ds:itemID="{AA8D8C86-E13B-444A-94BA-BDD65382DB58}"/>
</file>

<file path=customXml/itemProps4.xml><?xml version="1.0" encoding="utf-8"?>
<ds:datastoreItem xmlns:ds="http://schemas.openxmlformats.org/officeDocument/2006/customXml" ds:itemID="{AFC1F411-7EC4-4248-9690-C82F1C814E15}"/>
</file>

<file path=customXml/itemProps5.xml><?xml version="1.0" encoding="utf-8"?>
<ds:datastoreItem xmlns:ds="http://schemas.openxmlformats.org/officeDocument/2006/customXml" ds:itemID="{4CCC74D2-2994-43E9-B93F-201AD9C6F56A}"/>
</file>

<file path=customXml/itemProps6.xml><?xml version="1.0" encoding="utf-8"?>
<ds:datastoreItem xmlns:ds="http://schemas.openxmlformats.org/officeDocument/2006/customXml" ds:itemID="{18F6CF67-A024-46CB-9786-B725F87A86DF}"/>
</file>

<file path=docProps/app.xml><?xml version="1.0" encoding="utf-8"?>
<Properties xmlns="http://schemas.openxmlformats.org/officeDocument/2006/extended-properties" xmlns:vt="http://schemas.openxmlformats.org/officeDocument/2006/docPropsVTypes">
  <Template>R2-15xxxx - Contribution template.dot</Template>
  <TotalTime>1120</TotalTime>
  <Pages>6</Pages>
  <Words>2343</Words>
  <Characters>12423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24</cp:revision>
  <cp:lastPrinted>2017-01-05T13:21:00Z</cp:lastPrinted>
  <dcterms:created xsi:type="dcterms:W3CDTF">2016-12-20T07:13:00Z</dcterms:created>
  <dcterms:modified xsi:type="dcterms:W3CDTF">2017-01-06T19:06:00Z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2016-09-25T22:00:00Z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eeb284ef-af01-4fb6-9f3c-b055d5e28cc9</vt:lpwstr>
  </property>
</Properties>
</file>